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6C0" w:rsidRPr="00B226DD" w:rsidRDefault="00B436C0" w:rsidP="00F71A38">
      <w:pPr>
        <w:spacing w:after="0" w:line="240" w:lineRule="auto"/>
        <w:rPr>
          <w:rFonts w:ascii="Verdana" w:hAnsi="Verdana"/>
          <w:b/>
          <w:u w:val="single"/>
        </w:rPr>
      </w:pPr>
      <w:r w:rsidRPr="00B226DD">
        <w:rPr>
          <w:rFonts w:ascii="Verdana" w:hAnsi="Verdana"/>
          <w:b/>
          <w:u w:val="single"/>
        </w:rPr>
        <w:t>Indicative Terms &amp; Conditions</w:t>
      </w:r>
      <w:r w:rsidR="00F71A38" w:rsidRPr="00B226DD">
        <w:rPr>
          <w:rFonts w:ascii="Verdana" w:hAnsi="Verdana"/>
          <w:b/>
          <w:u w:val="single"/>
        </w:rPr>
        <w:t xml:space="preserve"> of Employment</w:t>
      </w:r>
    </w:p>
    <w:p w:rsidR="00F71A38" w:rsidRPr="00B226DD" w:rsidRDefault="00F71A38" w:rsidP="00F71A38">
      <w:pPr>
        <w:spacing w:after="0" w:line="240" w:lineRule="auto"/>
        <w:rPr>
          <w:rFonts w:ascii="Verdana" w:hAnsi="Verdana"/>
          <w:b/>
          <w:u w:val="single"/>
        </w:rPr>
      </w:pPr>
    </w:p>
    <w:p w:rsidR="00B436C0" w:rsidRPr="00B226DD" w:rsidRDefault="00492656" w:rsidP="00F71A38">
      <w:pPr>
        <w:spacing w:after="0" w:line="240" w:lineRule="auto"/>
        <w:rPr>
          <w:rFonts w:ascii="Verdana" w:hAnsi="Verdana"/>
          <w:b/>
        </w:rPr>
      </w:pPr>
      <w:r w:rsidRPr="00B226DD">
        <w:rPr>
          <w:rFonts w:ascii="Verdana" w:hAnsi="Verdana"/>
        </w:rPr>
        <w:t>Outlined below are</w:t>
      </w:r>
      <w:r w:rsidR="00B436C0" w:rsidRPr="00B226DD">
        <w:rPr>
          <w:rFonts w:ascii="Verdana" w:hAnsi="Verdana"/>
        </w:rPr>
        <w:t xml:space="preserve"> the main Terms and Conditions of Employment for information only. </w:t>
      </w:r>
      <w:r w:rsidRPr="00B226DD">
        <w:rPr>
          <w:rFonts w:ascii="Verdana" w:hAnsi="Verdana"/>
        </w:rPr>
        <w:t xml:space="preserve"> </w:t>
      </w:r>
      <w:r w:rsidR="00B436C0" w:rsidRPr="00B226DD">
        <w:rPr>
          <w:rFonts w:ascii="Verdana" w:hAnsi="Verdana"/>
        </w:rPr>
        <w:t>They do not constitute a contractual agreement and a full Contract of Employment will be issued to the successful applicant on appointment</w:t>
      </w:r>
      <w:r w:rsidR="00472820">
        <w:rPr>
          <w:rFonts w:ascii="Verdana" w:hAnsi="Verdana"/>
        </w:rPr>
        <w:t>.</w:t>
      </w:r>
    </w:p>
    <w:p w:rsidR="00F71A38" w:rsidRPr="00B226DD" w:rsidRDefault="00F71A38" w:rsidP="00F71A38">
      <w:pPr>
        <w:spacing w:after="0" w:line="240" w:lineRule="auto"/>
        <w:rPr>
          <w:rFonts w:ascii="Verdana" w:hAnsi="Verdana"/>
        </w:rPr>
      </w:pPr>
    </w:p>
    <w:tbl>
      <w:tblPr>
        <w:tblStyle w:val="TableGrid"/>
        <w:tblW w:w="9952" w:type="dxa"/>
        <w:tblInd w:w="108" w:type="dxa"/>
        <w:tblLook w:val="04A0" w:firstRow="1" w:lastRow="0" w:firstColumn="1" w:lastColumn="0" w:noHBand="0" w:noVBand="1"/>
      </w:tblPr>
      <w:tblGrid>
        <w:gridCol w:w="2014"/>
        <w:gridCol w:w="7938"/>
      </w:tblGrid>
      <w:tr w:rsidR="00EC7F8D" w:rsidRPr="00B226DD" w:rsidTr="0020706B">
        <w:tc>
          <w:tcPr>
            <w:tcW w:w="2014" w:type="dxa"/>
            <w:shd w:val="clear" w:color="auto" w:fill="D9D9D9" w:themeFill="background1" w:themeFillShade="D9"/>
          </w:tcPr>
          <w:p w:rsidR="00EC7F8D" w:rsidRPr="00B226DD" w:rsidRDefault="00EC7F8D" w:rsidP="00AD7AEE">
            <w:pPr>
              <w:rPr>
                <w:rFonts w:ascii="Verdana" w:hAnsi="Verdana"/>
                <w:b/>
              </w:rPr>
            </w:pPr>
            <w:r w:rsidRPr="00B226DD">
              <w:rPr>
                <w:rFonts w:ascii="Verdana" w:hAnsi="Verdana"/>
                <w:b/>
              </w:rPr>
              <w:t xml:space="preserve">Condition </w:t>
            </w:r>
          </w:p>
        </w:tc>
        <w:tc>
          <w:tcPr>
            <w:tcW w:w="7938" w:type="dxa"/>
            <w:shd w:val="clear" w:color="auto" w:fill="D9D9D9" w:themeFill="background1" w:themeFillShade="D9"/>
          </w:tcPr>
          <w:p w:rsidR="00EC7F8D" w:rsidRPr="00B226DD" w:rsidRDefault="00B436C0" w:rsidP="00AD7AEE">
            <w:pPr>
              <w:rPr>
                <w:rFonts w:ascii="Verdana" w:hAnsi="Verdana"/>
                <w:b/>
              </w:rPr>
            </w:pPr>
            <w:r w:rsidRPr="00B226DD">
              <w:rPr>
                <w:rFonts w:ascii="Verdana" w:hAnsi="Verdana"/>
                <w:b/>
              </w:rPr>
              <w:t>TfN Package</w:t>
            </w:r>
          </w:p>
          <w:p w:rsidR="00492656" w:rsidRPr="00B226DD" w:rsidRDefault="00492656" w:rsidP="00AD7AEE">
            <w:pPr>
              <w:rPr>
                <w:rFonts w:ascii="Verdana" w:hAnsi="Verdana"/>
                <w:b/>
              </w:rPr>
            </w:pPr>
          </w:p>
        </w:tc>
      </w:tr>
      <w:tr w:rsidR="00EC7F8D" w:rsidRPr="00B226DD" w:rsidTr="0020706B">
        <w:tc>
          <w:tcPr>
            <w:tcW w:w="2014" w:type="dxa"/>
            <w:shd w:val="clear" w:color="auto" w:fill="D9E2F3" w:themeFill="accent1" w:themeFillTint="33"/>
          </w:tcPr>
          <w:p w:rsidR="00EC7F8D" w:rsidRPr="00B226DD" w:rsidRDefault="00B436C0" w:rsidP="008D6DBF">
            <w:pPr>
              <w:rPr>
                <w:rFonts w:ascii="Verdana" w:hAnsi="Verdana"/>
                <w:b/>
              </w:rPr>
            </w:pPr>
            <w:r w:rsidRPr="00B226DD">
              <w:rPr>
                <w:rFonts w:ascii="Verdana" w:hAnsi="Verdana"/>
                <w:b/>
              </w:rPr>
              <w:t>Annual Salary</w:t>
            </w:r>
          </w:p>
          <w:p w:rsidR="00B436C0" w:rsidRPr="00B226DD" w:rsidRDefault="00B436C0" w:rsidP="008D6DBF">
            <w:pPr>
              <w:rPr>
                <w:rFonts w:ascii="Verdana" w:hAnsi="Verdana"/>
                <w:b/>
              </w:rPr>
            </w:pPr>
          </w:p>
        </w:tc>
        <w:tc>
          <w:tcPr>
            <w:tcW w:w="7938" w:type="dxa"/>
          </w:tcPr>
          <w:p w:rsidR="0020706B" w:rsidRPr="0020706B" w:rsidRDefault="00C61C48" w:rsidP="00B226DD">
            <w:pPr>
              <w:pStyle w:val="ListParagraph"/>
              <w:numPr>
                <w:ilvl w:val="0"/>
                <w:numId w:val="7"/>
              </w:numPr>
              <w:spacing w:after="0" w:line="240" w:lineRule="auto"/>
              <w:ind w:left="430" w:hanging="430"/>
              <w:rPr>
                <w:rFonts w:ascii="Verdana" w:hAnsi="Verdana" w:cs="Arial"/>
                <w:b/>
              </w:rPr>
            </w:pPr>
            <w:r>
              <w:rPr>
                <w:rFonts w:ascii="Verdana" w:hAnsi="Verdana" w:cs="Arial"/>
              </w:rPr>
              <w:t>£1</w:t>
            </w:r>
            <w:r w:rsidR="00DE1CFD">
              <w:rPr>
                <w:rFonts w:ascii="Verdana" w:hAnsi="Verdana" w:cs="Arial"/>
              </w:rPr>
              <w:t>14</w:t>
            </w:r>
            <w:r w:rsidR="00B226DD" w:rsidRPr="00B226DD">
              <w:rPr>
                <w:rFonts w:ascii="Verdana" w:hAnsi="Verdana" w:cs="Arial"/>
              </w:rPr>
              <w:t>,</w:t>
            </w:r>
            <w:r w:rsidR="00DE1CFD">
              <w:rPr>
                <w:rFonts w:ascii="Verdana" w:hAnsi="Verdana" w:cs="Arial"/>
              </w:rPr>
              <w:t>750</w:t>
            </w:r>
            <w:r w:rsidR="00B226DD" w:rsidRPr="00B226DD">
              <w:rPr>
                <w:rFonts w:ascii="Verdana" w:hAnsi="Verdana" w:cs="Arial"/>
              </w:rPr>
              <w:t xml:space="preserve"> to £</w:t>
            </w:r>
            <w:r>
              <w:rPr>
                <w:rFonts w:ascii="Verdana" w:hAnsi="Verdana" w:cs="Arial"/>
              </w:rPr>
              <w:t>13</w:t>
            </w:r>
            <w:r w:rsidR="00DE1CFD">
              <w:rPr>
                <w:rFonts w:ascii="Verdana" w:hAnsi="Verdana" w:cs="Arial"/>
              </w:rPr>
              <w:t>3</w:t>
            </w:r>
            <w:r>
              <w:rPr>
                <w:rFonts w:ascii="Verdana" w:hAnsi="Verdana" w:cs="Arial"/>
              </w:rPr>
              <w:t>,</w:t>
            </w:r>
            <w:r w:rsidR="00DE1CFD">
              <w:rPr>
                <w:rFonts w:ascii="Verdana" w:hAnsi="Verdana" w:cs="Arial"/>
              </w:rPr>
              <w:t>875</w:t>
            </w:r>
            <w:r w:rsidR="00B226DD" w:rsidRPr="00B226DD">
              <w:rPr>
                <w:rFonts w:ascii="Verdana" w:hAnsi="Verdana" w:cs="Arial"/>
              </w:rPr>
              <w:t xml:space="preserve"> per annum</w:t>
            </w:r>
            <w:r w:rsidR="0068217C">
              <w:rPr>
                <w:rFonts w:ascii="Verdana" w:hAnsi="Verdana" w:cs="Arial"/>
              </w:rPr>
              <w:t>.</w:t>
            </w:r>
            <w:r w:rsidR="0020706B">
              <w:rPr>
                <w:rFonts w:ascii="Verdana" w:hAnsi="Verdana" w:cs="Arial"/>
              </w:rPr>
              <w:t xml:space="preserve">  </w:t>
            </w:r>
          </w:p>
          <w:p w:rsidR="0020706B" w:rsidRDefault="0020706B" w:rsidP="0020706B">
            <w:pPr>
              <w:pStyle w:val="ListParagraph"/>
              <w:spacing w:after="0" w:line="240" w:lineRule="auto"/>
              <w:ind w:left="430"/>
              <w:rPr>
                <w:rFonts w:ascii="Verdana" w:hAnsi="Verdana" w:cs="Arial"/>
              </w:rPr>
            </w:pPr>
          </w:p>
          <w:p w:rsidR="00472820" w:rsidRDefault="0020706B" w:rsidP="0020706B">
            <w:pPr>
              <w:pStyle w:val="ListParagraph"/>
              <w:spacing w:after="0" w:line="240" w:lineRule="auto"/>
              <w:ind w:left="430"/>
              <w:rPr>
                <w:rFonts w:ascii="Verdana" w:hAnsi="Verdana" w:cs="Arial"/>
              </w:rPr>
            </w:pPr>
            <w:r>
              <w:rPr>
                <w:rFonts w:ascii="Verdana" w:hAnsi="Verdana" w:cs="Arial"/>
              </w:rPr>
              <w:t xml:space="preserve">Once the top of scale </w:t>
            </w:r>
            <w:r w:rsidR="00472820">
              <w:rPr>
                <w:rFonts w:ascii="Verdana" w:hAnsi="Verdana" w:cs="Arial"/>
              </w:rPr>
              <w:t xml:space="preserve">salary </w:t>
            </w:r>
            <w:r>
              <w:rPr>
                <w:rFonts w:ascii="Verdana" w:hAnsi="Verdana" w:cs="Arial"/>
              </w:rPr>
              <w:t>(i.e. £</w:t>
            </w:r>
            <w:r w:rsidR="00C61C48">
              <w:rPr>
                <w:rFonts w:ascii="Verdana" w:hAnsi="Verdana" w:cs="Arial"/>
              </w:rPr>
              <w:t>1</w:t>
            </w:r>
            <w:r w:rsidR="00DE1CFD">
              <w:rPr>
                <w:rFonts w:ascii="Verdana" w:hAnsi="Verdana" w:cs="Arial"/>
              </w:rPr>
              <w:t>33,875</w:t>
            </w:r>
            <w:r>
              <w:rPr>
                <w:rFonts w:ascii="Verdana" w:hAnsi="Verdana" w:cs="Arial"/>
              </w:rPr>
              <w:t xml:space="preserve"> per annum) is </w:t>
            </w:r>
          </w:p>
          <w:p w:rsidR="00B226DD" w:rsidRPr="00591630" w:rsidRDefault="0020706B" w:rsidP="00591630">
            <w:pPr>
              <w:pStyle w:val="ListParagraph"/>
              <w:spacing w:after="0" w:line="240" w:lineRule="auto"/>
              <w:ind w:left="430"/>
              <w:rPr>
                <w:rFonts w:ascii="Verdana" w:hAnsi="Verdana" w:cs="Arial"/>
              </w:rPr>
            </w:pPr>
            <w:r>
              <w:rPr>
                <w:rFonts w:ascii="Verdana" w:hAnsi="Verdana" w:cs="Arial"/>
              </w:rPr>
              <w:t xml:space="preserve">reached </w:t>
            </w:r>
            <w:r w:rsidR="00591630">
              <w:rPr>
                <w:rFonts w:ascii="Verdana" w:hAnsi="Verdana" w:cs="Arial"/>
              </w:rPr>
              <w:t xml:space="preserve">there is </w:t>
            </w:r>
            <w:r>
              <w:rPr>
                <w:rFonts w:ascii="Verdana" w:hAnsi="Verdana" w:cs="Arial"/>
              </w:rPr>
              <w:t>access to a</w:t>
            </w:r>
            <w:r w:rsidR="00472820">
              <w:rPr>
                <w:rFonts w:ascii="Verdana" w:hAnsi="Verdana" w:cs="Arial"/>
              </w:rPr>
              <w:t>n annually award</w:t>
            </w:r>
            <w:r w:rsidR="00D729A4">
              <w:rPr>
                <w:rFonts w:ascii="Verdana" w:hAnsi="Verdana" w:cs="Arial"/>
              </w:rPr>
              <w:t>ed</w:t>
            </w:r>
            <w:r w:rsidR="00472820">
              <w:rPr>
                <w:rFonts w:ascii="Verdana" w:hAnsi="Verdana" w:cs="Arial"/>
              </w:rPr>
              <w:t xml:space="preserve"> </w:t>
            </w:r>
            <w:r>
              <w:rPr>
                <w:rFonts w:ascii="Verdana" w:hAnsi="Verdana" w:cs="Arial"/>
              </w:rPr>
              <w:t xml:space="preserve">performance based </w:t>
            </w:r>
            <w:r w:rsidRPr="00591630">
              <w:rPr>
                <w:rFonts w:ascii="Verdana" w:hAnsi="Verdana" w:cs="Arial"/>
              </w:rPr>
              <w:t xml:space="preserve">non-consolidated </w:t>
            </w:r>
            <w:r w:rsidR="00472820" w:rsidRPr="00591630">
              <w:rPr>
                <w:rFonts w:ascii="Verdana" w:hAnsi="Verdana" w:cs="Arial"/>
              </w:rPr>
              <w:t xml:space="preserve">spinal point and </w:t>
            </w:r>
            <w:r w:rsidRPr="00591630">
              <w:rPr>
                <w:rFonts w:ascii="Verdana" w:hAnsi="Verdana" w:cs="Arial"/>
              </w:rPr>
              <w:t>salary of £</w:t>
            </w:r>
            <w:r w:rsidR="00C61C48" w:rsidRPr="00591630">
              <w:rPr>
                <w:rFonts w:ascii="Verdana" w:hAnsi="Verdana" w:cs="Arial"/>
              </w:rPr>
              <w:t>1</w:t>
            </w:r>
            <w:r w:rsidR="00DE1CFD">
              <w:rPr>
                <w:rFonts w:ascii="Verdana" w:hAnsi="Verdana" w:cs="Arial"/>
              </w:rPr>
              <w:t>41</w:t>
            </w:r>
            <w:r w:rsidR="00C61C48" w:rsidRPr="00591630">
              <w:rPr>
                <w:rFonts w:ascii="Verdana" w:hAnsi="Verdana" w:cs="Arial"/>
              </w:rPr>
              <w:t>,</w:t>
            </w:r>
            <w:r w:rsidR="00DE1CFD">
              <w:rPr>
                <w:rFonts w:ascii="Verdana" w:hAnsi="Verdana" w:cs="Arial"/>
              </w:rPr>
              <w:t>826</w:t>
            </w:r>
            <w:r w:rsidRPr="00591630">
              <w:rPr>
                <w:rFonts w:ascii="Verdana" w:hAnsi="Verdana" w:cs="Arial"/>
              </w:rPr>
              <w:t xml:space="preserve"> per annum.</w:t>
            </w:r>
          </w:p>
          <w:p w:rsidR="00315F51" w:rsidRPr="00B226DD" w:rsidRDefault="00315F51" w:rsidP="00315F51">
            <w:pPr>
              <w:pStyle w:val="ListParagraph"/>
              <w:spacing w:after="0" w:line="240" w:lineRule="auto"/>
              <w:ind w:left="430"/>
              <w:rPr>
                <w:rFonts w:ascii="Verdana" w:hAnsi="Verdana" w:cs="Arial"/>
                <w:b/>
              </w:rPr>
            </w:pPr>
          </w:p>
          <w:p w:rsidR="00B436C0" w:rsidRPr="00B226DD" w:rsidRDefault="00F71A38" w:rsidP="00B436C0">
            <w:pPr>
              <w:pStyle w:val="ListParagraph"/>
              <w:numPr>
                <w:ilvl w:val="0"/>
                <w:numId w:val="7"/>
              </w:numPr>
              <w:spacing w:after="0" w:line="240" w:lineRule="auto"/>
              <w:ind w:left="430" w:hanging="430"/>
              <w:rPr>
                <w:rFonts w:ascii="Verdana" w:hAnsi="Verdana" w:cs="Arial"/>
                <w:b/>
              </w:rPr>
            </w:pPr>
            <w:r w:rsidRPr="00B226DD">
              <w:rPr>
                <w:rFonts w:ascii="Verdana" w:hAnsi="Verdana" w:cs="Arial"/>
              </w:rPr>
              <w:t>C</w:t>
            </w:r>
            <w:r w:rsidR="008A5C98">
              <w:rPr>
                <w:rFonts w:ascii="Verdana" w:hAnsi="Verdana" w:cs="Arial"/>
              </w:rPr>
              <w:t xml:space="preserve">ommencing salary subject to </w:t>
            </w:r>
            <w:r w:rsidR="00B436C0" w:rsidRPr="00B226DD">
              <w:rPr>
                <w:rFonts w:ascii="Verdana" w:hAnsi="Verdana" w:cs="Arial"/>
              </w:rPr>
              <w:t>negotiation and agreement with the successful candidate.</w:t>
            </w:r>
          </w:p>
          <w:p w:rsidR="00EC7F8D" w:rsidRPr="00B226DD" w:rsidRDefault="00EC7F8D" w:rsidP="008D6DBF">
            <w:pPr>
              <w:rPr>
                <w:rFonts w:ascii="Verdana" w:hAnsi="Verdana"/>
                <w:b/>
              </w:rPr>
            </w:pPr>
          </w:p>
        </w:tc>
      </w:tr>
      <w:tr w:rsidR="00B436C0" w:rsidRPr="00B226DD" w:rsidTr="0020706B">
        <w:tc>
          <w:tcPr>
            <w:tcW w:w="2014" w:type="dxa"/>
            <w:shd w:val="clear" w:color="auto" w:fill="D9E2F3" w:themeFill="accent1" w:themeFillTint="33"/>
          </w:tcPr>
          <w:p w:rsidR="00B436C0" w:rsidRPr="00B226DD" w:rsidRDefault="00B436C0" w:rsidP="008D6DBF">
            <w:pPr>
              <w:rPr>
                <w:rFonts w:ascii="Verdana" w:hAnsi="Verdana"/>
                <w:b/>
              </w:rPr>
            </w:pPr>
            <w:r w:rsidRPr="00B226DD">
              <w:rPr>
                <w:rFonts w:ascii="Verdana" w:hAnsi="Verdana"/>
                <w:b/>
              </w:rPr>
              <w:t>Contract Term</w:t>
            </w:r>
          </w:p>
          <w:p w:rsidR="00B436C0" w:rsidRPr="00B226DD" w:rsidRDefault="00B436C0" w:rsidP="008D6DBF">
            <w:pPr>
              <w:rPr>
                <w:rFonts w:ascii="Verdana" w:hAnsi="Verdana"/>
                <w:b/>
              </w:rPr>
            </w:pPr>
          </w:p>
        </w:tc>
        <w:tc>
          <w:tcPr>
            <w:tcW w:w="7938" w:type="dxa"/>
          </w:tcPr>
          <w:p w:rsidR="00B436C0" w:rsidRPr="00B226DD" w:rsidRDefault="00B436C0" w:rsidP="00B436C0">
            <w:pPr>
              <w:pStyle w:val="ListParagraph"/>
              <w:numPr>
                <w:ilvl w:val="0"/>
                <w:numId w:val="7"/>
              </w:numPr>
              <w:spacing w:after="0" w:line="240" w:lineRule="auto"/>
              <w:ind w:left="430" w:hanging="430"/>
              <w:rPr>
                <w:rFonts w:ascii="Verdana" w:hAnsi="Verdana" w:cs="Arial"/>
              </w:rPr>
            </w:pPr>
            <w:r w:rsidRPr="00B226DD">
              <w:rPr>
                <w:rFonts w:ascii="Verdana" w:hAnsi="Verdana" w:cs="Arial"/>
              </w:rPr>
              <w:t>Permanent Contract</w:t>
            </w:r>
            <w:r w:rsidR="00111242" w:rsidRPr="00B226DD">
              <w:rPr>
                <w:rFonts w:ascii="Verdana" w:hAnsi="Verdana" w:cs="Arial"/>
              </w:rPr>
              <w:t>.</w:t>
            </w:r>
          </w:p>
        </w:tc>
      </w:tr>
      <w:tr w:rsidR="00F566DD" w:rsidRPr="00B226DD" w:rsidTr="0020706B">
        <w:tc>
          <w:tcPr>
            <w:tcW w:w="2014" w:type="dxa"/>
            <w:shd w:val="clear" w:color="auto" w:fill="D9E2F3" w:themeFill="accent1" w:themeFillTint="33"/>
          </w:tcPr>
          <w:p w:rsidR="00F566DD" w:rsidRPr="00B226DD" w:rsidRDefault="00F566DD" w:rsidP="005C1C3C">
            <w:pPr>
              <w:rPr>
                <w:rFonts w:ascii="Verdana" w:hAnsi="Verdana"/>
                <w:b/>
              </w:rPr>
            </w:pPr>
            <w:r w:rsidRPr="00B226DD">
              <w:rPr>
                <w:rFonts w:ascii="Verdana" w:hAnsi="Verdana"/>
                <w:b/>
              </w:rPr>
              <w:t>Continuity of Employment</w:t>
            </w:r>
          </w:p>
        </w:tc>
        <w:tc>
          <w:tcPr>
            <w:tcW w:w="7938" w:type="dxa"/>
          </w:tcPr>
          <w:p w:rsidR="00F566DD" w:rsidRPr="00B226DD" w:rsidRDefault="00EA0AA1" w:rsidP="005C1C3C">
            <w:pPr>
              <w:pStyle w:val="ListParagraph"/>
              <w:numPr>
                <w:ilvl w:val="0"/>
                <w:numId w:val="8"/>
              </w:numPr>
              <w:spacing w:after="0" w:line="240" w:lineRule="auto"/>
              <w:ind w:left="430" w:hanging="430"/>
              <w:rPr>
                <w:rFonts w:ascii="Verdana" w:hAnsi="Verdana"/>
              </w:rPr>
            </w:pPr>
            <w:r>
              <w:rPr>
                <w:rFonts w:ascii="Verdana" w:hAnsi="Verdana"/>
              </w:rPr>
              <w:t>P</w:t>
            </w:r>
            <w:r w:rsidR="00F566DD" w:rsidRPr="00B226DD">
              <w:rPr>
                <w:rFonts w:ascii="Verdana" w:hAnsi="Verdana"/>
              </w:rPr>
              <w:t>r</w:t>
            </w:r>
            <w:r>
              <w:rPr>
                <w:rFonts w:ascii="Verdana" w:hAnsi="Verdana"/>
              </w:rPr>
              <w:t>e</w:t>
            </w:r>
            <w:r w:rsidR="00F566DD" w:rsidRPr="00B226DD">
              <w:rPr>
                <w:rFonts w:ascii="Verdana" w:hAnsi="Verdana"/>
              </w:rPr>
              <w:t xml:space="preserve">vious </w:t>
            </w:r>
            <w:r w:rsidR="00F71A38" w:rsidRPr="00B226DD">
              <w:rPr>
                <w:rFonts w:ascii="Verdana" w:hAnsi="Verdana"/>
              </w:rPr>
              <w:t xml:space="preserve">continuous </w:t>
            </w:r>
            <w:r w:rsidR="00F566DD" w:rsidRPr="00B226DD">
              <w:rPr>
                <w:rFonts w:ascii="Verdana" w:hAnsi="Verdana"/>
              </w:rPr>
              <w:t>service with</w:t>
            </w:r>
            <w:r w:rsidR="00F71A38" w:rsidRPr="00B226DD">
              <w:rPr>
                <w:rFonts w:ascii="Verdana" w:hAnsi="Verdana"/>
              </w:rPr>
              <w:t>in</w:t>
            </w:r>
            <w:r w:rsidR="00F566DD" w:rsidRPr="00B226DD">
              <w:rPr>
                <w:rFonts w:ascii="Verdana" w:hAnsi="Verdana"/>
              </w:rPr>
              <w:t xml:space="preserve"> local gov</w:t>
            </w:r>
            <w:r w:rsidR="00F71A38" w:rsidRPr="00B226DD">
              <w:rPr>
                <w:rFonts w:ascii="Verdana" w:hAnsi="Verdana"/>
              </w:rPr>
              <w:t xml:space="preserve">ernment recognised by TfN (as per the </w:t>
            </w:r>
            <w:r w:rsidR="00F566DD" w:rsidRPr="00B226DD">
              <w:rPr>
                <w:rFonts w:ascii="Verdana" w:hAnsi="Verdana"/>
              </w:rPr>
              <w:t>Redundancy Modification Order).</w:t>
            </w:r>
          </w:p>
          <w:p w:rsidR="00F566DD" w:rsidRPr="00B226DD" w:rsidRDefault="00F566DD" w:rsidP="005C1C3C">
            <w:pPr>
              <w:rPr>
                <w:rFonts w:ascii="Verdana" w:hAnsi="Verdana"/>
              </w:rPr>
            </w:pPr>
          </w:p>
        </w:tc>
      </w:tr>
      <w:tr w:rsidR="00F566DD" w:rsidRPr="00B226DD" w:rsidTr="0020706B">
        <w:tc>
          <w:tcPr>
            <w:tcW w:w="2014" w:type="dxa"/>
            <w:shd w:val="clear" w:color="auto" w:fill="D9E2F3" w:themeFill="accent1" w:themeFillTint="33"/>
          </w:tcPr>
          <w:p w:rsidR="00F566DD" w:rsidRPr="00B226DD" w:rsidRDefault="00F566DD" w:rsidP="008D6DBF">
            <w:pPr>
              <w:rPr>
                <w:rFonts w:ascii="Verdana" w:hAnsi="Verdana"/>
                <w:b/>
              </w:rPr>
            </w:pPr>
            <w:r w:rsidRPr="00B226DD">
              <w:rPr>
                <w:rFonts w:ascii="Verdana" w:hAnsi="Verdana"/>
                <w:b/>
              </w:rPr>
              <w:t>Working Hours</w:t>
            </w:r>
          </w:p>
        </w:tc>
        <w:tc>
          <w:tcPr>
            <w:tcW w:w="7938" w:type="dxa"/>
          </w:tcPr>
          <w:p w:rsidR="00F566DD" w:rsidRPr="00B226DD" w:rsidRDefault="00F566DD" w:rsidP="00B436C0">
            <w:pPr>
              <w:pStyle w:val="ListParagraph"/>
              <w:numPr>
                <w:ilvl w:val="0"/>
                <w:numId w:val="7"/>
              </w:numPr>
              <w:spacing w:after="0" w:line="240" w:lineRule="auto"/>
              <w:ind w:left="430" w:hanging="430"/>
              <w:rPr>
                <w:rFonts w:ascii="Verdana" w:hAnsi="Verdana" w:cs="Arial"/>
              </w:rPr>
            </w:pPr>
            <w:r w:rsidRPr="00B226DD">
              <w:rPr>
                <w:rFonts w:ascii="Verdana" w:hAnsi="Verdana" w:cs="Arial"/>
              </w:rPr>
              <w:t>Normal business hours are 37 hours per week. You will be expected to work flexibly to meet business needs, within UK legislative boundaries.</w:t>
            </w:r>
          </w:p>
          <w:p w:rsidR="00B226DD" w:rsidRDefault="00B226DD" w:rsidP="00B226DD">
            <w:pPr>
              <w:pStyle w:val="ListParagraph"/>
              <w:spacing w:after="0" w:line="240" w:lineRule="auto"/>
              <w:ind w:left="430"/>
              <w:rPr>
                <w:rFonts w:ascii="Verdana" w:hAnsi="Verdana" w:cs="Arial"/>
              </w:rPr>
            </w:pPr>
          </w:p>
          <w:p w:rsidR="00B226DD" w:rsidRPr="00B226DD" w:rsidRDefault="00B226DD" w:rsidP="00B436C0">
            <w:pPr>
              <w:pStyle w:val="ListParagraph"/>
              <w:numPr>
                <w:ilvl w:val="0"/>
                <w:numId w:val="7"/>
              </w:numPr>
              <w:spacing w:after="0" w:line="240" w:lineRule="auto"/>
              <w:ind w:left="430" w:hanging="430"/>
              <w:rPr>
                <w:rFonts w:ascii="Verdana" w:hAnsi="Verdana" w:cs="Arial"/>
              </w:rPr>
            </w:pPr>
            <w:r w:rsidRPr="00B226DD">
              <w:rPr>
                <w:rFonts w:ascii="Verdana" w:hAnsi="Verdana" w:cs="Arial"/>
              </w:rPr>
              <w:t>TfN operates a Flexi-time Working Scheme allowing you to accrue and take up to 18 days per annum</w:t>
            </w:r>
            <w:r w:rsidR="00497772">
              <w:rPr>
                <w:rFonts w:ascii="Verdana" w:hAnsi="Verdana" w:cs="Arial"/>
              </w:rPr>
              <w:t xml:space="preserve"> </w:t>
            </w:r>
            <w:r w:rsidR="00DE1CFD">
              <w:rPr>
                <w:rFonts w:ascii="Verdana" w:hAnsi="Verdana" w:cs="Arial"/>
              </w:rPr>
              <w:t>i</w:t>
            </w:r>
            <w:r w:rsidR="00497772">
              <w:rPr>
                <w:rFonts w:ascii="Verdana" w:hAnsi="Verdana" w:cs="Arial"/>
              </w:rPr>
              <w:t>n flexi-leave</w:t>
            </w:r>
            <w:r w:rsidRPr="00B226DD">
              <w:rPr>
                <w:rFonts w:ascii="Verdana" w:hAnsi="Verdana" w:cs="Arial"/>
              </w:rPr>
              <w:t xml:space="preserve"> (2 days per 4 weeks accounting period).  </w:t>
            </w:r>
            <w:bookmarkStart w:id="0" w:name="_GoBack"/>
            <w:bookmarkEnd w:id="0"/>
          </w:p>
          <w:p w:rsidR="00F566DD" w:rsidRPr="00B226DD" w:rsidRDefault="00F566DD" w:rsidP="00B436C0">
            <w:pPr>
              <w:rPr>
                <w:rFonts w:ascii="Verdana" w:hAnsi="Verdana" w:cs="Arial"/>
              </w:rPr>
            </w:pPr>
          </w:p>
        </w:tc>
      </w:tr>
      <w:tr w:rsidR="00492656" w:rsidRPr="00B226DD" w:rsidTr="0020706B">
        <w:tc>
          <w:tcPr>
            <w:tcW w:w="2014" w:type="dxa"/>
            <w:shd w:val="clear" w:color="auto" w:fill="D9E2F3" w:themeFill="accent1" w:themeFillTint="33"/>
          </w:tcPr>
          <w:p w:rsidR="00492656" w:rsidRPr="00B226DD" w:rsidRDefault="00492656" w:rsidP="008D6DBF">
            <w:pPr>
              <w:rPr>
                <w:rFonts w:ascii="Verdana" w:hAnsi="Verdana"/>
                <w:b/>
              </w:rPr>
            </w:pPr>
            <w:r w:rsidRPr="00B226DD">
              <w:rPr>
                <w:rFonts w:ascii="Verdana" w:hAnsi="Verdana"/>
                <w:b/>
              </w:rPr>
              <w:t>Place of Work</w:t>
            </w:r>
          </w:p>
          <w:p w:rsidR="00492656" w:rsidRPr="00B226DD" w:rsidRDefault="00492656" w:rsidP="008D6DBF">
            <w:pPr>
              <w:rPr>
                <w:rFonts w:ascii="Verdana" w:hAnsi="Verdana"/>
                <w:b/>
              </w:rPr>
            </w:pPr>
          </w:p>
        </w:tc>
        <w:tc>
          <w:tcPr>
            <w:tcW w:w="7938" w:type="dxa"/>
          </w:tcPr>
          <w:p w:rsidR="00492656" w:rsidRPr="00B226DD" w:rsidRDefault="00492656" w:rsidP="00492656">
            <w:pPr>
              <w:pStyle w:val="ListParagraph"/>
              <w:numPr>
                <w:ilvl w:val="0"/>
                <w:numId w:val="7"/>
              </w:numPr>
              <w:spacing w:after="0" w:line="240" w:lineRule="auto"/>
              <w:ind w:left="430" w:hanging="430"/>
              <w:rPr>
                <w:rFonts w:ascii="Verdana" w:hAnsi="Verdana" w:cs="Arial"/>
              </w:rPr>
            </w:pPr>
            <w:r w:rsidRPr="00B226DD">
              <w:rPr>
                <w:rFonts w:ascii="Verdana" w:hAnsi="Verdana" w:cs="Arial"/>
              </w:rPr>
              <w:t xml:space="preserve">Flexible but with a requirement to regularly work from our </w:t>
            </w:r>
            <w:r w:rsidR="00B226DD" w:rsidRPr="00B226DD">
              <w:rPr>
                <w:rFonts w:ascii="Verdana" w:hAnsi="Verdana" w:cs="Arial"/>
              </w:rPr>
              <w:t>offices in Manchester</w:t>
            </w:r>
            <w:r w:rsidR="00111242" w:rsidRPr="00B226DD">
              <w:rPr>
                <w:rFonts w:ascii="Verdana" w:hAnsi="Verdana" w:cs="Arial"/>
              </w:rPr>
              <w:t>.</w:t>
            </w:r>
          </w:p>
          <w:p w:rsidR="00492656" w:rsidRPr="00B226DD" w:rsidRDefault="00492656" w:rsidP="00492656">
            <w:pPr>
              <w:pStyle w:val="ListParagraph"/>
              <w:spacing w:after="0" w:line="240" w:lineRule="auto"/>
              <w:ind w:left="430"/>
              <w:rPr>
                <w:rFonts w:ascii="Verdana" w:hAnsi="Verdana" w:cs="Arial"/>
              </w:rPr>
            </w:pPr>
          </w:p>
        </w:tc>
      </w:tr>
      <w:tr w:rsidR="00492656" w:rsidRPr="00B226DD" w:rsidTr="0020706B">
        <w:tc>
          <w:tcPr>
            <w:tcW w:w="2014" w:type="dxa"/>
            <w:shd w:val="clear" w:color="auto" w:fill="D9E2F3" w:themeFill="accent1" w:themeFillTint="33"/>
          </w:tcPr>
          <w:p w:rsidR="00492656" w:rsidRPr="00B226DD" w:rsidRDefault="00492656" w:rsidP="008D6DBF">
            <w:pPr>
              <w:rPr>
                <w:rFonts w:ascii="Verdana" w:hAnsi="Verdana"/>
                <w:b/>
              </w:rPr>
            </w:pPr>
            <w:r w:rsidRPr="00B226DD">
              <w:rPr>
                <w:rFonts w:ascii="Verdana" w:hAnsi="Verdana"/>
                <w:b/>
              </w:rPr>
              <w:t xml:space="preserve">Notice period </w:t>
            </w:r>
          </w:p>
        </w:tc>
        <w:tc>
          <w:tcPr>
            <w:tcW w:w="7938" w:type="dxa"/>
          </w:tcPr>
          <w:p w:rsidR="00492656" w:rsidRPr="00B226DD" w:rsidRDefault="00C61C48" w:rsidP="00B436C0">
            <w:pPr>
              <w:pStyle w:val="ListParagraph"/>
              <w:numPr>
                <w:ilvl w:val="0"/>
                <w:numId w:val="7"/>
              </w:numPr>
              <w:spacing w:after="0" w:line="240" w:lineRule="auto"/>
              <w:ind w:left="430" w:hanging="430"/>
              <w:rPr>
                <w:rFonts w:ascii="Verdana" w:hAnsi="Verdana" w:cs="Arial"/>
              </w:rPr>
            </w:pPr>
            <w:r>
              <w:rPr>
                <w:rFonts w:ascii="Verdana" w:hAnsi="Verdana" w:cs="Arial"/>
              </w:rPr>
              <w:t>Six</w:t>
            </w:r>
            <w:r w:rsidR="00492656" w:rsidRPr="00B226DD">
              <w:rPr>
                <w:rFonts w:ascii="Verdana" w:hAnsi="Verdana" w:cs="Arial"/>
              </w:rPr>
              <w:t xml:space="preserve"> months’ notice required on both the employee and employer sides.</w:t>
            </w:r>
          </w:p>
          <w:p w:rsidR="00492656" w:rsidRPr="00B226DD" w:rsidRDefault="00492656" w:rsidP="00492656">
            <w:pPr>
              <w:pStyle w:val="ListParagraph"/>
              <w:spacing w:after="0" w:line="240" w:lineRule="auto"/>
              <w:ind w:left="430"/>
              <w:rPr>
                <w:rFonts w:ascii="Verdana" w:hAnsi="Verdana" w:cs="Arial"/>
              </w:rPr>
            </w:pPr>
            <w:r w:rsidRPr="00B226DD">
              <w:rPr>
                <w:rFonts w:ascii="Verdana" w:hAnsi="Verdana" w:cs="Arial"/>
              </w:rPr>
              <w:t xml:space="preserve"> </w:t>
            </w:r>
          </w:p>
        </w:tc>
      </w:tr>
      <w:tr w:rsidR="00F566DD" w:rsidRPr="00B226DD" w:rsidTr="0020706B">
        <w:tc>
          <w:tcPr>
            <w:tcW w:w="2014" w:type="dxa"/>
            <w:shd w:val="clear" w:color="auto" w:fill="D9E2F3" w:themeFill="accent1" w:themeFillTint="33"/>
          </w:tcPr>
          <w:p w:rsidR="00F566DD" w:rsidRPr="00B226DD" w:rsidRDefault="00F566DD" w:rsidP="008D6DBF">
            <w:pPr>
              <w:rPr>
                <w:rFonts w:ascii="Verdana" w:hAnsi="Verdana"/>
                <w:b/>
              </w:rPr>
            </w:pPr>
            <w:r w:rsidRPr="00B226DD">
              <w:rPr>
                <w:rFonts w:ascii="Verdana" w:hAnsi="Verdana"/>
                <w:b/>
              </w:rPr>
              <w:t>Pension</w:t>
            </w:r>
          </w:p>
        </w:tc>
        <w:tc>
          <w:tcPr>
            <w:tcW w:w="7938" w:type="dxa"/>
          </w:tcPr>
          <w:p w:rsidR="00F566DD" w:rsidRPr="0020706B" w:rsidRDefault="00F566DD" w:rsidP="0020706B">
            <w:pPr>
              <w:pStyle w:val="ListParagraph"/>
              <w:numPr>
                <w:ilvl w:val="0"/>
                <w:numId w:val="7"/>
              </w:numPr>
              <w:spacing w:after="0" w:line="240" w:lineRule="auto"/>
              <w:ind w:left="430" w:hanging="430"/>
              <w:rPr>
                <w:rFonts w:ascii="Verdana" w:hAnsi="Verdana" w:cs="Arial"/>
              </w:rPr>
            </w:pPr>
            <w:r w:rsidRPr="00B226DD">
              <w:rPr>
                <w:rFonts w:ascii="Verdana" w:hAnsi="Verdana" w:cs="Arial"/>
              </w:rPr>
              <w:t>Membership of the Local Government Pension Scheme.</w:t>
            </w:r>
            <w:r w:rsidR="0020706B">
              <w:rPr>
                <w:rFonts w:ascii="Verdana" w:hAnsi="Verdana" w:cs="Arial"/>
              </w:rPr>
              <w:t xml:space="preserve"> </w:t>
            </w:r>
            <w:r w:rsidRPr="0020706B">
              <w:rPr>
                <w:rFonts w:ascii="Verdana" w:hAnsi="Verdana" w:cs="Arial"/>
              </w:rPr>
              <w:t>No loss of continuation of service if already working in Local Government.</w:t>
            </w:r>
          </w:p>
          <w:p w:rsidR="00B226DD" w:rsidRPr="00B226DD" w:rsidRDefault="00B226DD" w:rsidP="00B226DD">
            <w:pPr>
              <w:pStyle w:val="ListParagraph"/>
              <w:spacing w:after="0" w:line="240" w:lineRule="auto"/>
              <w:ind w:left="426"/>
              <w:rPr>
                <w:rFonts w:ascii="Verdana" w:hAnsi="Verdana" w:cs="Arial"/>
              </w:rPr>
            </w:pPr>
          </w:p>
          <w:p w:rsidR="00F566DD" w:rsidRPr="00B226DD" w:rsidRDefault="00F566DD" w:rsidP="00B436C0">
            <w:pPr>
              <w:pStyle w:val="ListParagraph"/>
              <w:numPr>
                <w:ilvl w:val="0"/>
                <w:numId w:val="2"/>
              </w:numPr>
              <w:spacing w:after="0" w:line="240" w:lineRule="auto"/>
              <w:ind w:left="426" w:hanging="426"/>
              <w:rPr>
                <w:rFonts w:ascii="Verdana" w:hAnsi="Verdana" w:cs="Arial"/>
              </w:rPr>
            </w:pPr>
            <w:r w:rsidRPr="00B226DD">
              <w:rPr>
                <w:rFonts w:ascii="Verdana" w:hAnsi="Verdana" w:cs="Arial"/>
              </w:rPr>
              <w:t xml:space="preserve">Further details available at </w:t>
            </w:r>
            <w:hyperlink r:id="rId10" w:history="1">
              <w:r w:rsidRPr="00B226DD">
                <w:rPr>
                  <w:rStyle w:val="Hyperlink"/>
                  <w:rFonts w:ascii="Verdana" w:hAnsi="Verdana" w:cs="Arial"/>
                </w:rPr>
                <w:t>http://www.lgps.org.uk</w:t>
              </w:r>
            </w:hyperlink>
          </w:p>
          <w:p w:rsidR="00F566DD" w:rsidRPr="00B226DD" w:rsidRDefault="00F566DD" w:rsidP="00B436C0">
            <w:pPr>
              <w:rPr>
                <w:rFonts w:ascii="Verdana" w:hAnsi="Verdana"/>
              </w:rPr>
            </w:pPr>
          </w:p>
        </w:tc>
      </w:tr>
      <w:tr w:rsidR="00F566DD" w:rsidRPr="00B226DD" w:rsidTr="0020706B">
        <w:tc>
          <w:tcPr>
            <w:tcW w:w="2014" w:type="dxa"/>
            <w:shd w:val="clear" w:color="auto" w:fill="D9E2F3" w:themeFill="accent1" w:themeFillTint="33"/>
          </w:tcPr>
          <w:p w:rsidR="00F566DD" w:rsidRPr="00B226DD" w:rsidRDefault="00F566DD" w:rsidP="008D6DBF">
            <w:pPr>
              <w:rPr>
                <w:rFonts w:ascii="Verdana" w:hAnsi="Verdana"/>
                <w:b/>
              </w:rPr>
            </w:pPr>
            <w:r w:rsidRPr="00B226DD">
              <w:rPr>
                <w:rFonts w:ascii="Verdana" w:hAnsi="Verdana"/>
                <w:b/>
              </w:rPr>
              <w:t>Leave Entitlement</w:t>
            </w:r>
          </w:p>
        </w:tc>
        <w:tc>
          <w:tcPr>
            <w:tcW w:w="7938" w:type="dxa"/>
          </w:tcPr>
          <w:p w:rsidR="00F566DD" w:rsidRDefault="00F566DD" w:rsidP="00F566DD">
            <w:pPr>
              <w:pStyle w:val="ListParagraph"/>
              <w:numPr>
                <w:ilvl w:val="0"/>
                <w:numId w:val="9"/>
              </w:numPr>
              <w:spacing w:after="0" w:line="240" w:lineRule="auto"/>
              <w:ind w:left="430" w:hanging="430"/>
              <w:rPr>
                <w:rFonts w:ascii="Verdana" w:hAnsi="Verdana" w:cs="Arial"/>
              </w:rPr>
            </w:pPr>
            <w:r w:rsidRPr="00B226DD">
              <w:rPr>
                <w:rFonts w:ascii="Verdana" w:hAnsi="Verdana" w:cs="Arial"/>
              </w:rPr>
              <w:t>27 days annual leave per annum, 2 extra day’s leave after 5 years’ service and a further 2 day’s leave after 10 years’ service</w:t>
            </w:r>
            <w:r w:rsidR="00111242" w:rsidRPr="00B226DD">
              <w:rPr>
                <w:rFonts w:ascii="Verdana" w:hAnsi="Verdana" w:cs="Arial"/>
              </w:rPr>
              <w:t>.</w:t>
            </w:r>
            <w:r w:rsidRPr="00B226DD">
              <w:rPr>
                <w:rFonts w:ascii="Verdana" w:hAnsi="Verdana" w:cs="Arial"/>
              </w:rPr>
              <w:t xml:space="preserve"> </w:t>
            </w:r>
          </w:p>
          <w:p w:rsidR="00B226DD" w:rsidRPr="00B226DD" w:rsidRDefault="00B226DD" w:rsidP="00B226DD">
            <w:pPr>
              <w:pStyle w:val="ListParagraph"/>
              <w:spacing w:after="0" w:line="240" w:lineRule="auto"/>
              <w:ind w:left="430"/>
              <w:rPr>
                <w:rFonts w:ascii="Verdana" w:hAnsi="Verdana" w:cs="Arial"/>
              </w:rPr>
            </w:pPr>
          </w:p>
          <w:p w:rsidR="00F566DD" w:rsidRPr="00B226DD" w:rsidRDefault="00F566DD" w:rsidP="00F566DD">
            <w:pPr>
              <w:pStyle w:val="ListParagraph"/>
              <w:numPr>
                <w:ilvl w:val="0"/>
                <w:numId w:val="9"/>
              </w:numPr>
              <w:spacing w:after="0" w:line="240" w:lineRule="auto"/>
              <w:ind w:left="430" w:hanging="430"/>
              <w:rPr>
                <w:rFonts w:ascii="Verdana" w:hAnsi="Verdana" w:cs="Arial"/>
              </w:rPr>
            </w:pPr>
            <w:r w:rsidRPr="00B226DD">
              <w:rPr>
                <w:rFonts w:ascii="Verdana" w:hAnsi="Verdana" w:cs="Arial"/>
              </w:rPr>
              <w:t>8 statutory bank holiday days per annum</w:t>
            </w:r>
            <w:r w:rsidR="00111242" w:rsidRPr="00B226DD">
              <w:rPr>
                <w:rFonts w:ascii="Verdana" w:hAnsi="Verdana" w:cs="Arial"/>
              </w:rPr>
              <w:t>.</w:t>
            </w:r>
          </w:p>
          <w:p w:rsidR="00F566DD" w:rsidRPr="00B226DD" w:rsidRDefault="00F566DD" w:rsidP="00F566DD">
            <w:pPr>
              <w:pStyle w:val="ListParagraph"/>
              <w:spacing w:after="0" w:line="240" w:lineRule="auto"/>
              <w:ind w:left="430"/>
              <w:rPr>
                <w:rFonts w:ascii="Verdana" w:hAnsi="Verdana" w:cs="Arial"/>
              </w:rPr>
            </w:pPr>
          </w:p>
        </w:tc>
      </w:tr>
      <w:tr w:rsidR="0020706B" w:rsidRPr="00B226DD" w:rsidTr="0020706B">
        <w:tc>
          <w:tcPr>
            <w:tcW w:w="2014" w:type="dxa"/>
            <w:shd w:val="clear" w:color="auto" w:fill="D9E2F3" w:themeFill="accent1" w:themeFillTint="33"/>
          </w:tcPr>
          <w:p w:rsidR="0020706B" w:rsidRPr="00B226DD" w:rsidRDefault="0020706B" w:rsidP="0020706B">
            <w:pPr>
              <w:rPr>
                <w:rFonts w:ascii="Verdana" w:hAnsi="Verdana"/>
                <w:b/>
              </w:rPr>
            </w:pPr>
            <w:r>
              <w:rPr>
                <w:rFonts w:ascii="Verdana" w:hAnsi="Verdana"/>
                <w:b/>
              </w:rPr>
              <w:t>Home to Work Travel</w:t>
            </w:r>
          </w:p>
        </w:tc>
        <w:tc>
          <w:tcPr>
            <w:tcW w:w="7938" w:type="dxa"/>
          </w:tcPr>
          <w:p w:rsidR="0020706B" w:rsidRPr="00B226DD" w:rsidRDefault="0020706B" w:rsidP="0020706B">
            <w:pPr>
              <w:pStyle w:val="ListParagraph"/>
              <w:numPr>
                <w:ilvl w:val="0"/>
                <w:numId w:val="6"/>
              </w:numPr>
              <w:spacing w:after="0" w:line="240" w:lineRule="auto"/>
              <w:ind w:left="426" w:hanging="426"/>
              <w:rPr>
                <w:rFonts w:ascii="Verdana" w:hAnsi="Verdana" w:cs="Arial"/>
              </w:rPr>
            </w:pPr>
            <w:r w:rsidRPr="00B226DD">
              <w:rPr>
                <w:rFonts w:ascii="Verdana" w:hAnsi="Verdana" w:cs="Arial"/>
              </w:rPr>
              <w:t xml:space="preserve">Interest free loan (via Salary Sacrifice) to towards the annual cost of suitable work to home travel pass. </w:t>
            </w:r>
          </w:p>
          <w:p w:rsidR="0020706B" w:rsidRPr="00B226DD" w:rsidRDefault="0020706B" w:rsidP="0020706B">
            <w:pPr>
              <w:rPr>
                <w:rFonts w:ascii="Verdana" w:hAnsi="Verdana"/>
                <w:b/>
                <w:u w:val="single"/>
              </w:rPr>
            </w:pPr>
          </w:p>
        </w:tc>
      </w:tr>
    </w:tbl>
    <w:p w:rsidR="00B226DD" w:rsidRDefault="00B226DD"/>
    <w:p w:rsidR="00591630" w:rsidRDefault="00591630"/>
    <w:p w:rsidR="00591630" w:rsidRDefault="00591630"/>
    <w:tbl>
      <w:tblPr>
        <w:tblStyle w:val="TableGrid"/>
        <w:tblW w:w="9923" w:type="dxa"/>
        <w:tblInd w:w="108" w:type="dxa"/>
        <w:tblLook w:val="04A0" w:firstRow="1" w:lastRow="0" w:firstColumn="1" w:lastColumn="0" w:noHBand="0" w:noVBand="1"/>
      </w:tblPr>
      <w:tblGrid>
        <w:gridCol w:w="2439"/>
        <w:gridCol w:w="7484"/>
      </w:tblGrid>
      <w:tr w:rsidR="00B226DD" w:rsidRPr="00B226DD" w:rsidTr="0020706B">
        <w:tc>
          <w:tcPr>
            <w:tcW w:w="2439" w:type="dxa"/>
            <w:shd w:val="clear" w:color="auto" w:fill="D9D9D9" w:themeFill="background1" w:themeFillShade="D9"/>
          </w:tcPr>
          <w:p w:rsidR="00B226DD" w:rsidRPr="00B226DD" w:rsidRDefault="00B226DD" w:rsidP="00B226DD">
            <w:pPr>
              <w:rPr>
                <w:rFonts w:ascii="Verdana" w:hAnsi="Verdana"/>
                <w:b/>
              </w:rPr>
            </w:pPr>
            <w:r w:rsidRPr="00B226DD">
              <w:rPr>
                <w:rFonts w:ascii="Verdana" w:hAnsi="Verdana"/>
                <w:b/>
              </w:rPr>
              <w:lastRenderedPageBreak/>
              <w:t xml:space="preserve">Condition </w:t>
            </w:r>
          </w:p>
        </w:tc>
        <w:tc>
          <w:tcPr>
            <w:tcW w:w="7484" w:type="dxa"/>
            <w:shd w:val="clear" w:color="auto" w:fill="D9D9D9" w:themeFill="background1" w:themeFillShade="D9"/>
          </w:tcPr>
          <w:p w:rsidR="00B226DD" w:rsidRPr="00B226DD" w:rsidRDefault="00B226DD" w:rsidP="00B226DD">
            <w:pPr>
              <w:rPr>
                <w:rFonts w:ascii="Verdana" w:hAnsi="Verdana"/>
                <w:b/>
              </w:rPr>
            </w:pPr>
            <w:r w:rsidRPr="00B226DD">
              <w:rPr>
                <w:rFonts w:ascii="Verdana" w:hAnsi="Verdana"/>
                <w:b/>
              </w:rPr>
              <w:t>TfN Package</w:t>
            </w:r>
          </w:p>
          <w:p w:rsidR="00B226DD" w:rsidRPr="00B226DD" w:rsidRDefault="00B226DD" w:rsidP="00B226DD">
            <w:pPr>
              <w:rPr>
                <w:rFonts w:ascii="Verdana" w:hAnsi="Verdana"/>
                <w:b/>
              </w:rPr>
            </w:pPr>
          </w:p>
        </w:tc>
      </w:tr>
      <w:tr w:rsidR="0020706B" w:rsidRPr="00B226DD" w:rsidTr="0020706B">
        <w:tc>
          <w:tcPr>
            <w:tcW w:w="2439" w:type="dxa"/>
            <w:shd w:val="clear" w:color="auto" w:fill="D9E2F3" w:themeFill="accent1" w:themeFillTint="33"/>
          </w:tcPr>
          <w:p w:rsidR="0020706B" w:rsidRPr="00B226DD" w:rsidRDefault="0020706B" w:rsidP="0020706B">
            <w:pPr>
              <w:rPr>
                <w:rFonts w:ascii="Verdana" w:hAnsi="Verdana" w:cs="Arial"/>
                <w:b/>
              </w:rPr>
            </w:pPr>
            <w:r w:rsidRPr="00B226DD">
              <w:rPr>
                <w:rFonts w:ascii="Verdana" w:hAnsi="Verdana" w:cs="Arial"/>
                <w:b/>
              </w:rPr>
              <w:t>Occupational Health &amp; Employee Assistance</w:t>
            </w:r>
          </w:p>
          <w:p w:rsidR="0020706B" w:rsidRPr="00B226DD" w:rsidRDefault="0020706B" w:rsidP="0020706B">
            <w:pPr>
              <w:rPr>
                <w:rFonts w:ascii="Verdana" w:hAnsi="Verdana" w:cs="Arial"/>
                <w:b/>
              </w:rPr>
            </w:pPr>
          </w:p>
        </w:tc>
        <w:tc>
          <w:tcPr>
            <w:tcW w:w="7484" w:type="dxa"/>
          </w:tcPr>
          <w:p w:rsidR="0020706B" w:rsidRDefault="0020706B" w:rsidP="0020706B">
            <w:pPr>
              <w:ind w:left="430" w:hanging="430"/>
              <w:rPr>
                <w:rFonts w:ascii="Verdana" w:hAnsi="Verdana"/>
              </w:rPr>
            </w:pPr>
            <w:r w:rsidRPr="00B226DD">
              <w:rPr>
                <w:rFonts w:ascii="Verdana" w:hAnsi="Verdana"/>
              </w:rPr>
              <w:t>•</w:t>
            </w:r>
            <w:r w:rsidRPr="00B226DD">
              <w:rPr>
                <w:rFonts w:ascii="Verdana" w:hAnsi="Verdana"/>
              </w:rPr>
              <w:tab/>
              <w:t>Occupational Sick Pay - Above statutory minimum entitlements, up to 6 months full pay and 6 months half pay.</w:t>
            </w:r>
          </w:p>
          <w:p w:rsidR="0020706B" w:rsidRPr="00B226DD" w:rsidRDefault="0020706B" w:rsidP="0020706B">
            <w:pPr>
              <w:ind w:left="430" w:hanging="430"/>
              <w:rPr>
                <w:rFonts w:ascii="Verdana" w:hAnsi="Verdana"/>
              </w:rPr>
            </w:pPr>
          </w:p>
          <w:p w:rsidR="0020706B" w:rsidRDefault="0020706B" w:rsidP="0020706B">
            <w:pPr>
              <w:ind w:left="430" w:hanging="430"/>
              <w:rPr>
                <w:rFonts w:ascii="Verdana" w:hAnsi="Verdana"/>
              </w:rPr>
            </w:pPr>
            <w:r w:rsidRPr="00B226DD">
              <w:rPr>
                <w:rFonts w:ascii="Verdana" w:hAnsi="Verdana"/>
              </w:rPr>
              <w:t>•</w:t>
            </w:r>
            <w:r w:rsidRPr="00B226DD">
              <w:rPr>
                <w:rFonts w:ascii="Verdana" w:hAnsi="Verdana"/>
              </w:rPr>
              <w:tab/>
              <w:t>Free independent support and advice in matters relating to health in the workplace.</w:t>
            </w:r>
          </w:p>
          <w:p w:rsidR="0020706B" w:rsidRPr="00B226DD" w:rsidRDefault="0020706B" w:rsidP="0020706B">
            <w:pPr>
              <w:ind w:left="430" w:hanging="430"/>
              <w:rPr>
                <w:rFonts w:ascii="Verdana" w:hAnsi="Verdana"/>
              </w:rPr>
            </w:pPr>
          </w:p>
          <w:p w:rsidR="0020706B" w:rsidRPr="00B226DD" w:rsidRDefault="0020706B" w:rsidP="0020706B">
            <w:pPr>
              <w:ind w:left="430" w:hanging="430"/>
              <w:rPr>
                <w:rFonts w:ascii="Verdana" w:hAnsi="Verdana"/>
              </w:rPr>
            </w:pPr>
            <w:r w:rsidRPr="00B226DD">
              <w:rPr>
                <w:rFonts w:ascii="Verdana" w:hAnsi="Verdana"/>
              </w:rPr>
              <w:t>•</w:t>
            </w:r>
            <w:r w:rsidRPr="00B226DD">
              <w:rPr>
                <w:rFonts w:ascii="Verdana" w:hAnsi="Verdana"/>
              </w:rPr>
              <w:tab/>
              <w:t>Free 24/7 advice on any challenges you enc</w:t>
            </w:r>
            <w:r w:rsidR="00591630">
              <w:rPr>
                <w:rFonts w:ascii="Verdana" w:hAnsi="Verdana"/>
              </w:rPr>
              <w:t>ounter in life from moving home</w:t>
            </w:r>
            <w:r w:rsidRPr="00B226DD">
              <w:rPr>
                <w:rFonts w:ascii="Verdana" w:hAnsi="Verdana"/>
              </w:rPr>
              <w:t xml:space="preserve"> to family crises.</w:t>
            </w:r>
          </w:p>
          <w:p w:rsidR="0020706B" w:rsidRPr="00B226DD" w:rsidRDefault="0020706B" w:rsidP="0020706B">
            <w:pPr>
              <w:ind w:left="430" w:hanging="430"/>
              <w:rPr>
                <w:rFonts w:ascii="Verdana" w:hAnsi="Verdana"/>
              </w:rPr>
            </w:pPr>
          </w:p>
        </w:tc>
      </w:tr>
      <w:tr w:rsidR="0020706B" w:rsidRPr="00B226DD" w:rsidTr="0020706B">
        <w:tc>
          <w:tcPr>
            <w:tcW w:w="2439" w:type="dxa"/>
            <w:shd w:val="clear" w:color="auto" w:fill="D9E2F3" w:themeFill="accent1" w:themeFillTint="33"/>
          </w:tcPr>
          <w:p w:rsidR="0020706B" w:rsidRPr="00B226DD" w:rsidRDefault="0020706B" w:rsidP="0020706B">
            <w:pPr>
              <w:rPr>
                <w:rFonts w:ascii="Verdana" w:hAnsi="Verdana" w:cs="Arial"/>
                <w:b/>
              </w:rPr>
            </w:pPr>
            <w:r w:rsidRPr="00B226DD">
              <w:rPr>
                <w:rFonts w:ascii="Verdana" w:hAnsi="Verdana" w:cs="Arial"/>
                <w:b/>
              </w:rPr>
              <w:t>Occupational Maternity, Paternity or Adoption Leave</w:t>
            </w:r>
          </w:p>
          <w:p w:rsidR="0020706B" w:rsidRPr="00B226DD" w:rsidRDefault="0020706B" w:rsidP="0020706B">
            <w:pPr>
              <w:rPr>
                <w:rFonts w:ascii="Verdana" w:hAnsi="Verdana" w:cs="Arial"/>
                <w:b/>
              </w:rPr>
            </w:pPr>
          </w:p>
        </w:tc>
        <w:tc>
          <w:tcPr>
            <w:tcW w:w="7484" w:type="dxa"/>
          </w:tcPr>
          <w:p w:rsidR="0020706B" w:rsidRPr="00B226DD" w:rsidRDefault="0020706B" w:rsidP="0020706B">
            <w:pPr>
              <w:ind w:left="430" w:hanging="430"/>
              <w:rPr>
                <w:rFonts w:ascii="Verdana" w:hAnsi="Verdana"/>
              </w:rPr>
            </w:pPr>
            <w:r w:rsidRPr="00B226DD">
              <w:rPr>
                <w:rFonts w:ascii="Verdana" w:hAnsi="Verdana"/>
              </w:rPr>
              <w:t>•</w:t>
            </w:r>
            <w:r w:rsidRPr="00B226DD">
              <w:rPr>
                <w:rFonts w:ascii="Verdana" w:hAnsi="Verdana"/>
              </w:rPr>
              <w:tab/>
              <w:t>Above statutory minimum entitlements.</w:t>
            </w:r>
          </w:p>
        </w:tc>
      </w:tr>
      <w:tr w:rsidR="0020706B" w:rsidRPr="00B226DD" w:rsidTr="0020706B">
        <w:tc>
          <w:tcPr>
            <w:tcW w:w="2439" w:type="dxa"/>
            <w:shd w:val="clear" w:color="auto" w:fill="D9E2F3" w:themeFill="accent1" w:themeFillTint="33"/>
          </w:tcPr>
          <w:p w:rsidR="0020706B" w:rsidRPr="00B226DD" w:rsidRDefault="0020706B" w:rsidP="0020706B">
            <w:pPr>
              <w:rPr>
                <w:rFonts w:ascii="Verdana" w:hAnsi="Verdana"/>
                <w:b/>
              </w:rPr>
            </w:pPr>
            <w:r w:rsidRPr="00B226DD">
              <w:rPr>
                <w:rFonts w:ascii="Verdana" w:hAnsi="Verdana"/>
                <w:b/>
              </w:rPr>
              <w:t>Bereavement Leave</w:t>
            </w:r>
          </w:p>
        </w:tc>
        <w:tc>
          <w:tcPr>
            <w:tcW w:w="7484" w:type="dxa"/>
          </w:tcPr>
          <w:p w:rsidR="0020706B" w:rsidRPr="0020706B" w:rsidRDefault="0020706B" w:rsidP="0020706B">
            <w:pPr>
              <w:pStyle w:val="ListParagraph"/>
              <w:numPr>
                <w:ilvl w:val="0"/>
                <w:numId w:val="11"/>
              </w:numPr>
              <w:spacing w:after="0" w:line="240" w:lineRule="auto"/>
              <w:ind w:left="459" w:hanging="425"/>
              <w:rPr>
                <w:rFonts w:ascii="Verdana" w:hAnsi="Verdana"/>
                <w:b/>
              </w:rPr>
            </w:pPr>
            <w:r w:rsidRPr="00B226DD">
              <w:rPr>
                <w:rFonts w:ascii="Verdana" w:hAnsi="Verdana"/>
                <w:b/>
              </w:rPr>
              <w:t xml:space="preserve">Immediate family: </w:t>
            </w:r>
            <w:r w:rsidRPr="0020706B">
              <w:rPr>
                <w:rFonts w:ascii="Verdana" w:hAnsi="Verdana"/>
              </w:rPr>
              <w:t>1 days’ leave</w:t>
            </w:r>
          </w:p>
          <w:p w:rsidR="0020706B" w:rsidRPr="00B226DD" w:rsidRDefault="0020706B" w:rsidP="0020706B">
            <w:pPr>
              <w:pStyle w:val="ListParagraph"/>
              <w:spacing w:after="0" w:line="240" w:lineRule="auto"/>
              <w:ind w:left="459"/>
              <w:rPr>
                <w:rFonts w:ascii="Verdana" w:hAnsi="Verdana"/>
                <w:b/>
              </w:rPr>
            </w:pPr>
          </w:p>
          <w:p w:rsidR="0020706B" w:rsidRPr="0020706B" w:rsidRDefault="0020706B" w:rsidP="0020706B">
            <w:pPr>
              <w:pStyle w:val="ListParagraph"/>
              <w:numPr>
                <w:ilvl w:val="0"/>
                <w:numId w:val="11"/>
              </w:numPr>
              <w:spacing w:after="0" w:line="240" w:lineRule="auto"/>
              <w:ind w:left="459" w:hanging="425"/>
              <w:rPr>
                <w:rFonts w:ascii="Verdana" w:hAnsi="Verdana"/>
                <w:b/>
              </w:rPr>
            </w:pPr>
            <w:r w:rsidRPr="00B226DD">
              <w:rPr>
                <w:rFonts w:ascii="Verdana" w:hAnsi="Verdana"/>
                <w:b/>
              </w:rPr>
              <w:t xml:space="preserve">In special circumstances: </w:t>
            </w:r>
            <w:r w:rsidRPr="0020706B">
              <w:rPr>
                <w:rFonts w:ascii="Verdana" w:hAnsi="Verdana"/>
              </w:rPr>
              <w:t>Up to 2 days’ leave</w:t>
            </w:r>
          </w:p>
          <w:p w:rsidR="0020706B" w:rsidRPr="00B226DD" w:rsidRDefault="0020706B" w:rsidP="0020706B">
            <w:pPr>
              <w:rPr>
                <w:rFonts w:ascii="Verdana" w:hAnsi="Verdana"/>
              </w:rPr>
            </w:pPr>
          </w:p>
          <w:p w:rsidR="0020706B" w:rsidRPr="0020706B" w:rsidRDefault="0020706B" w:rsidP="0020706B">
            <w:pPr>
              <w:pStyle w:val="ListParagraph"/>
              <w:numPr>
                <w:ilvl w:val="0"/>
                <w:numId w:val="11"/>
              </w:numPr>
              <w:spacing w:after="0" w:line="240" w:lineRule="auto"/>
              <w:ind w:left="459" w:hanging="425"/>
              <w:rPr>
                <w:rFonts w:ascii="Verdana" w:hAnsi="Verdana"/>
                <w:b/>
              </w:rPr>
            </w:pPr>
            <w:r w:rsidRPr="00B226DD">
              <w:rPr>
                <w:rFonts w:ascii="Verdana" w:hAnsi="Verdana"/>
                <w:b/>
              </w:rPr>
              <w:t xml:space="preserve">If responsible for funeral arrangements: </w:t>
            </w:r>
            <w:r w:rsidRPr="0020706B">
              <w:rPr>
                <w:rFonts w:ascii="Verdana" w:hAnsi="Verdana"/>
              </w:rPr>
              <w:t>Up to a further 2 days’ leave</w:t>
            </w:r>
          </w:p>
          <w:p w:rsidR="0020706B" w:rsidRPr="00B226DD" w:rsidRDefault="0020706B" w:rsidP="0020706B">
            <w:pPr>
              <w:rPr>
                <w:rFonts w:ascii="Verdana" w:hAnsi="Verdana"/>
                <w:b/>
                <w:u w:val="single"/>
              </w:rPr>
            </w:pPr>
          </w:p>
        </w:tc>
      </w:tr>
      <w:tr w:rsidR="0020706B" w:rsidRPr="00B226DD" w:rsidTr="0020706B">
        <w:tc>
          <w:tcPr>
            <w:tcW w:w="2439" w:type="dxa"/>
            <w:shd w:val="clear" w:color="auto" w:fill="D9E2F3" w:themeFill="accent1" w:themeFillTint="33"/>
          </w:tcPr>
          <w:p w:rsidR="0020706B" w:rsidRPr="00B226DD" w:rsidRDefault="0020706B" w:rsidP="0020706B">
            <w:pPr>
              <w:rPr>
                <w:rFonts w:ascii="Verdana" w:hAnsi="Verdana" w:cs="Arial"/>
                <w:b/>
              </w:rPr>
            </w:pPr>
            <w:r w:rsidRPr="00B226DD">
              <w:rPr>
                <w:rFonts w:ascii="Verdana" w:hAnsi="Verdana" w:cs="Arial"/>
                <w:b/>
              </w:rPr>
              <w:t>Professional Development &amp; Memberships</w:t>
            </w:r>
          </w:p>
          <w:p w:rsidR="0020706B" w:rsidRPr="00B226DD" w:rsidRDefault="0020706B" w:rsidP="0020706B">
            <w:pPr>
              <w:rPr>
                <w:rFonts w:ascii="Verdana" w:hAnsi="Verdana"/>
                <w:b/>
              </w:rPr>
            </w:pPr>
          </w:p>
        </w:tc>
        <w:tc>
          <w:tcPr>
            <w:tcW w:w="7484" w:type="dxa"/>
          </w:tcPr>
          <w:p w:rsidR="0020706B" w:rsidRDefault="0020706B" w:rsidP="0020706B">
            <w:pPr>
              <w:ind w:left="430" w:hanging="430"/>
              <w:rPr>
                <w:rFonts w:ascii="Verdana" w:hAnsi="Verdana"/>
              </w:rPr>
            </w:pPr>
            <w:r w:rsidRPr="00B226DD">
              <w:rPr>
                <w:rFonts w:ascii="Verdana" w:hAnsi="Verdana"/>
              </w:rPr>
              <w:t>•</w:t>
            </w:r>
            <w:r w:rsidRPr="00B226DD">
              <w:rPr>
                <w:rFonts w:ascii="Verdana" w:hAnsi="Verdana"/>
              </w:rPr>
              <w:tab/>
              <w:t>Reimburse of professional membership subscription costs that are related to your role.</w:t>
            </w:r>
          </w:p>
          <w:p w:rsidR="0020706B" w:rsidRPr="00B226DD" w:rsidRDefault="0020706B" w:rsidP="0020706B">
            <w:pPr>
              <w:rPr>
                <w:rFonts w:ascii="Verdana" w:hAnsi="Verdana"/>
              </w:rPr>
            </w:pPr>
          </w:p>
          <w:p w:rsidR="0020706B" w:rsidRPr="00B226DD" w:rsidRDefault="0020706B" w:rsidP="0020706B">
            <w:pPr>
              <w:pStyle w:val="ListParagraph"/>
              <w:numPr>
                <w:ilvl w:val="0"/>
                <w:numId w:val="10"/>
              </w:numPr>
              <w:spacing w:after="0" w:line="240" w:lineRule="auto"/>
              <w:ind w:left="430" w:hanging="430"/>
              <w:rPr>
                <w:rFonts w:ascii="Verdana" w:hAnsi="Verdana"/>
              </w:rPr>
            </w:pPr>
            <w:r w:rsidRPr="00B226DD">
              <w:rPr>
                <w:rFonts w:ascii="Verdana" w:hAnsi="Verdana"/>
              </w:rPr>
              <w:t>Fees for all approved development paid for by TfN.</w:t>
            </w:r>
          </w:p>
          <w:p w:rsidR="0020706B" w:rsidRPr="00B226DD" w:rsidRDefault="0020706B" w:rsidP="0020706B">
            <w:pPr>
              <w:pStyle w:val="ListParagraph"/>
              <w:spacing w:after="0" w:line="240" w:lineRule="auto"/>
              <w:ind w:left="430"/>
              <w:rPr>
                <w:rFonts w:ascii="Verdana" w:hAnsi="Verdana"/>
              </w:rPr>
            </w:pPr>
          </w:p>
        </w:tc>
      </w:tr>
      <w:tr w:rsidR="0020706B" w:rsidRPr="00B226DD" w:rsidTr="0020706B">
        <w:tc>
          <w:tcPr>
            <w:tcW w:w="2439" w:type="dxa"/>
            <w:shd w:val="clear" w:color="auto" w:fill="D9E2F3" w:themeFill="accent1" w:themeFillTint="33"/>
          </w:tcPr>
          <w:p w:rsidR="0020706B" w:rsidRPr="00B226DD" w:rsidRDefault="00DE1CFD" w:rsidP="0020706B">
            <w:pPr>
              <w:rPr>
                <w:rFonts w:ascii="Verdana" w:hAnsi="Verdana"/>
                <w:b/>
              </w:rPr>
            </w:pPr>
            <w:r>
              <w:rPr>
                <w:rFonts w:ascii="Verdana" w:hAnsi="Verdana"/>
                <w:b/>
              </w:rPr>
              <w:t>Cycle to work</w:t>
            </w:r>
            <w:r w:rsidR="0020706B" w:rsidRPr="00B226DD">
              <w:rPr>
                <w:rFonts w:ascii="Verdana" w:hAnsi="Verdana"/>
                <w:b/>
              </w:rPr>
              <w:t xml:space="preserve"> Scheme</w:t>
            </w:r>
          </w:p>
          <w:p w:rsidR="0020706B" w:rsidRPr="00B226DD" w:rsidRDefault="0020706B" w:rsidP="0020706B">
            <w:pPr>
              <w:rPr>
                <w:rFonts w:ascii="Verdana" w:hAnsi="Verdana"/>
                <w:b/>
              </w:rPr>
            </w:pPr>
          </w:p>
        </w:tc>
        <w:tc>
          <w:tcPr>
            <w:tcW w:w="7484" w:type="dxa"/>
          </w:tcPr>
          <w:p w:rsidR="0020706B" w:rsidRPr="00B226DD" w:rsidRDefault="0020706B" w:rsidP="0020706B">
            <w:pPr>
              <w:pStyle w:val="ListParagraph"/>
              <w:numPr>
                <w:ilvl w:val="0"/>
                <w:numId w:val="3"/>
              </w:numPr>
              <w:spacing w:after="0" w:line="240" w:lineRule="auto"/>
              <w:ind w:left="426" w:hanging="426"/>
              <w:rPr>
                <w:rFonts w:ascii="Verdana" w:hAnsi="Verdana" w:cs="Arial"/>
                <w:b/>
              </w:rPr>
            </w:pPr>
            <w:r w:rsidRPr="00B226DD">
              <w:rPr>
                <w:rFonts w:ascii="Verdana" w:hAnsi="Verdana" w:cs="Arial"/>
              </w:rPr>
              <w:t xml:space="preserve">Cycle to Work Scheme - </w:t>
            </w:r>
            <w:r w:rsidRPr="00B226DD">
              <w:rPr>
                <w:rFonts w:ascii="Verdana" w:hAnsi="Verdana" w:cs="Arial"/>
                <w:i/>
              </w:rPr>
              <w:t>Cycle &amp; equipment purchase and TAX and NI savings via salary sacrifice.</w:t>
            </w:r>
          </w:p>
          <w:p w:rsidR="0020706B" w:rsidRPr="00DE1CFD" w:rsidRDefault="0020706B" w:rsidP="00DE1CFD">
            <w:pPr>
              <w:rPr>
                <w:rFonts w:ascii="Verdana" w:hAnsi="Verdana"/>
                <w:b/>
                <w:u w:val="single"/>
              </w:rPr>
            </w:pPr>
          </w:p>
        </w:tc>
      </w:tr>
      <w:tr w:rsidR="00591630" w:rsidRPr="00B226DD" w:rsidTr="0020706B">
        <w:tc>
          <w:tcPr>
            <w:tcW w:w="2439" w:type="dxa"/>
            <w:shd w:val="clear" w:color="auto" w:fill="D9E2F3" w:themeFill="accent1" w:themeFillTint="33"/>
          </w:tcPr>
          <w:p w:rsidR="00591630" w:rsidRDefault="00591630" w:rsidP="0020706B">
            <w:pPr>
              <w:rPr>
                <w:rFonts w:ascii="Verdana" w:hAnsi="Verdana" w:cs="Arial"/>
                <w:b/>
              </w:rPr>
            </w:pPr>
            <w:r>
              <w:rPr>
                <w:rFonts w:ascii="Verdana" w:hAnsi="Verdana" w:cs="Arial"/>
                <w:b/>
              </w:rPr>
              <w:t>Relocation Allowance</w:t>
            </w:r>
          </w:p>
          <w:p w:rsidR="00591630" w:rsidRPr="00B226DD" w:rsidRDefault="00591630" w:rsidP="0020706B">
            <w:pPr>
              <w:rPr>
                <w:rFonts w:ascii="Verdana" w:hAnsi="Verdana" w:cs="Arial"/>
                <w:b/>
              </w:rPr>
            </w:pPr>
          </w:p>
        </w:tc>
        <w:tc>
          <w:tcPr>
            <w:tcW w:w="7484" w:type="dxa"/>
          </w:tcPr>
          <w:p w:rsidR="00591630" w:rsidRDefault="00591630" w:rsidP="0020706B">
            <w:pPr>
              <w:pStyle w:val="ListParagraph"/>
              <w:numPr>
                <w:ilvl w:val="0"/>
                <w:numId w:val="7"/>
              </w:numPr>
              <w:spacing w:after="0" w:line="240" w:lineRule="auto"/>
              <w:ind w:left="426" w:hanging="426"/>
              <w:rPr>
                <w:rFonts w:ascii="Verdana" w:hAnsi="Verdana" w:cs="Arial"/>
              </w:rPr>
            </w:pPr>
            <w:r>
              <w:rPr>
                <w:rFonts w:ascii="Verdana" w:hAnsi="Verdana" w:cs="Arial"/>
              </w:rPr>
              <w:t>This post is eligible (subject to certain conditions) to claim a relocation allowance of up to £8,000 during the first year of employment.</w:t>
            </w:r>
          </w:p>
          <w:p w:rsidR="00591630" w:rsidRPr="00B226DD" w:rsidRDefault="00591630" w:rsidP="00591630">
            <w:pPr>
              <w:pStyle w:val="ListParagraph"/>
              <w:spacing w:after="0" w:line="240" w:lineRule="auto"/>
              <w:ind w:left="426"/>
              <w:rPr>
                <w:rFonts w:ascii="Verdana" w:hAnsi="Verdana" w:cs="Arial"/>
              </w:rPr>
            </w:pPr>
            <w:r>
              <w:rPr>
                <w:rFonts w:ascii="Verdana" w:hAnsi="Verdana" w:cs="Arial"/>
              </w:rPr>
              <w:t xml:space="preserve"> </w:t>
            </w:r>
          </w:p>
        </w:tc>
      </w:tr>
      <w:tr w:rsidR="0020706B" w:rsidRPr="00B226DD" w:rsidTr="0020706B">
        <w:tc>
          <w:tcPr>
            <w:tcW w:w="2439" w:type="dxa"/>
            <w:shd w:val="clear" w:color="auto" w:fill="D9E2F3" w:themeFill="accent1" w:themeFillTint="33"/>
          </w:tcPr>
          <w:p w:rsidR="0020706B" w:rsidRPr="00B226DD" w:rsidRDefault="0020706B" w:rsidP="0020706B">
            <w:pPr>
              <w:rPr>
                <w:rFonts w:ascii="Verdana" w:hAnsi="Verdana" w:cs="Arial"/>
                <w:b/>
              </w:rPr>
            </w:pPr>
            <w:r w:rsidRPr="00B226DD">
              <w:rPr>
                <w:rFonts w:ascii="Verdana" w:hAnsi="Verdana" w:cs="Arial"/>
                <w:b/>
              </w:rPr>
              <w:t>Facilities (Leeds &amp; Manchester Offices)</w:t>
            </w:r>
          </w:p>
          <w:p w:rsidR="0020706B" w:rsidRPr="00B226DD" w:rsidRDefault="0020706B" w:rsidP="0020706B">
            <w:pPr>
              <w:rPr>
                <w:rFonts w:ascii="Verdana" w:hAnsi="Verdana"/>
                <w:b/>
              </w:rPr>
            </w:pPr>
          </w:p>
        </w:tc>
        <w:tc>
          <w:tcPr>
            <w:tcW w:w="7484" w:type="dxa"/>
          </w:tcPr>
          <w:p w:rsidR="0020706B" w:rsidRPr="00B226DD" w:rsidRDefault="0020706B" w:rsidP="0020706B">
            <w:pPr>
              <w:pStyle w:val="ListParagraph"/>
              <w:numPr>
                <w:ilvl w:val="0"/>
                <w:numId w:val="7"/>
              </w:numPr>
              <w:spacing w:after="0" w:line="240" w:lineRule="auto"/>
              <w:ind w:left="426" w:hanging="426"/>
              <w:rPr>
                <w:rFonts w:ascii="Verdana" w:hAnsi="Verdana" w:cs="Arial"/>
                <w:b/>
              </w:rPr>
            </w:pPr>
            <w:r w:rsidRPr="00B226DD">
              <w:rPr>
                <w:rFonts w:ascii="Verdana" w:hAnsi="Verdana" w:cs="Arial"/>
              </w:rPr>
              <w:t>Secure cycle storage points and free shower facilities at both of TfN’s main offices in Leeds &amp; Manchester offices.</w:t>
            </w:r>
          </w:p>
          <w:p w:rsidR="0020706B" w:rsidRPr="00B226DD" w:rsidRDefault="0020706B" w:rsidP="0020706B">
            <w:pPr>
              <w:rPr>
                <w:rFonts w:ascii="Verdana" w:hAnsi="Verdana"/>
              </w:rPr>
            </w:pPr>
          </w:p>
        </w:tc>
      </w:tr>
      <w:tr w:rsidR="0020706B" w:rsidRPr="00B226DD" w:rsidTr="0020706B">
        <w:tc>
          <w:tcPr>
            <w:tcW w:w="2439" w:type="dxa"/>
            <w:shd w:val="clear" w:color="auto" w:fill="D9E2F3" w:themeFill="accent1" w:themeFillTint="33"/>
          </w:tcPr>
          <w:p w:rsidR="0020706B" w:rsidRPr="00B226DD" w:rsidRDefault="0020706B" w:rsidP="0020706B">
            <w:pPr>
              <w:rPr>
                <w:rFonts w:ascii="Verdana" w:hAnsi="Verdana" w:cs="Verdana"/>
                <w:b/>
                <w:bCs/>
                <w:color w:val="000000"/>
              </w:rPr>
            </w:pPr>
            <w:r w:rsidRPr="00B226DD">
              <w:rPr>
                <w:rFonts w:ascii="Verdana" w:hAnsi="Verdana" w:cs="Verdana"/>
                <w:b/>
                <w:bCs/>
                <w:color w:val="000000"/>
              </w:rPr>
              <w:t>Clearances Required</w:t>
            </w:r>
          </w:p>
          <w:p w:rsidR="0020706B" w:rsidRPr="00B226DD" w:rsidRDefault="0020706B" w:rsidP="0020706B">
            <w:pPr>
              <w:rPr>
                <w:rFonts w:ascii="Verdana" w:hAnsi="Verdana"/>
                <w:b/>
              </w:rPr>
            </w:pPr>
          </w:p>
        </w:tc>
        <w:tc>
          <w:tcPr>
            <w:tcW w:w="7484" w:type="dxa"/>
          </w:tcPr>
          <w:p w:rsidR="0020706B" w:rsidRDefault="0020706B" w:rsidP="0020706B">
            <w:pPr>
              <w:ind w:left="459" w:hanging="425"/>
              <w:rPr>
                <w:rFonts w:ascii="Verdana" w:hAnsi="Verdana"/>
              </w:rPr>
            </w:pPr>
            <w:r w:rsidRPr="00B226DD">
              <w:rPr>
                <w:rFonts w:ascii="Verdana" w:hAnsi="Verdana"/>
              </w:rPr>
              <w:t>•</w:t>
            </w:r>
            <w:r w:rsidRPr="00B226DD">
              <w:rPr>
                <w:rFonts w:ascii="Verdana" w:hAnsi="Verdana"/>
              </w:rPr>
              <w:tab/>
              <w:t>Proof of qualifications (for those essential to the role) will be required. Inability to provide evidence of such qualifications and your Right to Work in the UK will invalidate any offer of employment made.</w:t>
            </w:r>
          </w:p>
          <w:p w:rsidR="0020706B" w:rsidRPr="00B226DD" w:rsidRDefault="0020706B" w:rsidP="0020706B">
            <w:pPr>
              <w:rPr>
                <w:rFonts w:ascii="Verdana" w:hAnsi="Verdana"/>
              </w:rPr>
            </w:pPr>
          </w:p>
          <w:p w:rsidR="0020706B" w:rsidRDefault="0020706B" w:rsidP="00591630">
            <w:pPr>
              <w:pStyle w:val="ListParagraph"/>
              <w:numPr>
                <w:ilvl w:val="0"/>
                <w:numId w:val="7"/>
              </w:numPr>
              <w:spacing w:after="0" w:line="240" w:lineRule="auto"/>
              <w:ind w:left="459" w:hanging="459"/>
              <w:rPr>
                <w:rFonts w:ascii="Verdana" w:hAnsi="Verdana"/>
              </w:rPr>
            </w:pPr>
            <w:r w:rsidRPr="00B226DD">
              <w:rPr>
                <w:rFonts w:ascii="Verdana" w:hAnsi="Verdana"/>
              </w:rPr>
              <w:t>The appointment is also subject to two satisfactory references and medical clearance being received.</w:t>
            </w:r>
          </w:p>
          <w:p w:rsidR="00591630" w:rsidRPr="00591630" w:rsidRDefault="00591630" w:rsidP="00591630">
            <w:pPr>
              <w:pStyle w:val="ListParagraph"/>
              <w:spacing w:after="0" w:line="240" w:lineRule="auto"/>
              <w:ind w:left="459"/>
              <w:rPr>
                <w:rFonts w:ascii="Verdana" w:hAnsi="Verdana"/>
              </w:rPr>
            </w:pPr>
          </w:p>
        </w:tc>
      </w:tr>
    </w:tbl>
    <w:p w:rsidR="00492656" w:rsidRPr="00B226DD" w:rsidRDefault="00492656">
      <w:pPr>
        <w:rPr>
          <w:rFonts w:ascii="Verdana" w:hAnsi="Verdana"/>
        </w:rPr>
      </w:pPr>
    </w:p>
    <w:sectPr w:rsidR="00492656" w:rsidRPr="00B226DD" w:rsidSect="00591630">
      <w:headerReference w:type="default" r:id="rId11"/>
      <w:pgSz w:w="11906" w:h="16838"/>
      <w:pgMar w:top="1135" w:right="566"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B68" w:rsidRDefault="00760B68" w:rsidP="00AD7594">
      <w:pPr>
        <w:spacing w:after="0" w:line="240" w:lineRule="auto"/>
      </w:pPr>
      <w:r>
        <w:separator/>
      </w:r>
    </w:p>
  </w:endnote>
  <w:endnote w:type="continuationSeparator" w:id="0">
    <w:p w:rsidR="00760B68" w:rsidRDefault="00760B68" w:rsidP="00AD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B68" w:rsidRDefault="00760B68" w:rsidP="00AD7594">
      <w:pPr>
        <w:spacing w:after="0" w:line="240" w:lineRule="auto"/>
      </w:pPr>
      <w:r>
        <w:separator/>
      </w:r>
    </w:p>
  </w:footnote>
  <w:footnote w:type="continuationSeparator" w:id="0">
    <w:p w:rsidR="00760B68" w:rsidRDefault="00760B68" w:rsidP="00AD7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594" w:rsidRDefault="00AD7594">
    <w:pPr>
      <w:pStyle w:val="Header"/>
    </w:pPr>
    <w:r>
      <w:rPr>
        <w:noProof/>
        <w:lang w:eastAsia="en-GB"/>
      </w:rPr>
      <w:drawing>
        <wp:inline distT="0" distB="0" distL="0" distR="0" wp14:anchorId="34AC5974" wp14:editId="34AC5975">
          <wp:extent cx="2066925" cy="511841"/>
          <wp:effectExtent l="0" t="0" r="0" b="2540"/>
          <wp:docPr id="11" name="Picture 11" descr="F:\High Speed 2 Phase 2\140929 HS2 Stick Upload\Presentations\151008 Tf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igh Speed 2 Phase 2\140929 HS2 Stick Upload\Presentations\151008 TfN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382" cy="513935"/>
                  </a:xfrm>
                  <a:prstGeom prst="rect">
                    <a:avLst/>
                  </a:prstGeom>
                  <a:noFill/>
                  <a:ln>
                    <a:noFill/>
                  </a:ln>
                </pic:spPr>
              </pic:pic>
            </a:graphicData>
          </a:graphic>
        </wp:inline>
      </w:drawing>
    </w:r>
  </w:p>
  <w:p w:rsidR="00591630" w:rsidRPr="00591630" w:rsidRDefault="0059163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7C0"/>
    <w:multiLevelType w:val="hybridMultilevel"/>
    <w:tmpl w:val="B2C2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3469F"/>
    <w:multiLevelType w:val="hybridMultilevel"/>
    <w:tmpl w:val="CCB6F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100B8"/>
    <w:multiLevelType w:val="hybridMultilevel"/>
    <w:tmpl w:val="1774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B321D"/>
    <w:multiLevelType w:val="hybridMultilevel"/>
    <w:tmpl w:val="9348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C76FF"/>
    <w:multiLevelType w:val="hybridMultilevel"/>
    <w:tmpl w:val="87B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0224A"/>
    <w:multiLevelType w:val="hybridMultilevel"/>
    <w:tmpl w:val="20303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0358A"/>
    <w:multiLevelType w:val="hybridMultilevel"/>
    <w:tmpl w:val="E9C8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213D2"/>
    <w:multiLevelType w:val="hybridMultilevel"/>
    <w:tmpl w:val="425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B671F"/>
    <w:multiLevelType w:val="hybridMultilevel"/>
    <w:tmpl w:val="BE98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16AAF"/>
    <w:multiLevelType w:val="hybridMultilevel"/>
    <w:tmpl w:val="64BE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2039F"/>
    <w:multiLevelType w:val="hybridMultilevel"/>
    <w:tmpl w:val="3DCE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2"/>
  </w:num>
  <w:num w:numId="6">
    <w:abstractNumId w:val="6"/>
  </w:num>
  <w:num w:numId="7">
    <w:abstractNumId w:val="7"/>
  </w:num>
  <w:num w:numId="8">
    <w:abstractNumId w:val="0"/>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EE"/>
    <w:rsid w:val="00010942"/>
    <w:rsid w:val="00111242"/>
    <w:rsid w:val="0020706B"/>
    <w:rsid w:val="00253925"/>
    <w:rsid w:val="002C1CF3"/>
    <w:rsid w:val="002D42FB"/>
    <w:rsid w:val="0030176E"/>
    <w:rsid w:val="00315F51"/>
    <w:rsid w:val="00391F5B"/>
    <w:rsid w:val="003C0129"/>
    <w:rsid w:val="00472820"/>
    <w:rsid w:val="00492656"/>
    <w:rsid w:val="00497772"/>
    <w:rsid w:val="00514056"/>
    <w:rsid w:val="00575B01"/>
    <w:rsid w:val="00591630"/>
    <w:rsid w:val="005F3F05"/>
    <w:rsid w:val="00601F6B"/>
    <w:rsid w:val="00680234"/>
    <w:rsid w:val="0068217C"/>
    <w:rsid w:val="006A3088"/>
    <w:rsid w:val="0073538F"/>
    <w:rsid w:val="00760B68"/>
    <w:rsid w:val="008A5C98"/>
    <w:rsid w:val="008D6DBF"/>
    <w:rsid w:val="00A25AF6"/>
    <w:rsid w:val="00A30113"/>
    <w:rsid w:val="00AD7594"/>
    <w:rsid w:val="00AD7AEE"/>
    <w:rsid w:val="00B226DD"/>
    <w:rsid w:val="00B436C0"/>
    <w:rsid w:val="00B601E1"/>
    <w:rsid w:val="00B942FA"/>
    <w:rsid w:val="00C57B70"/>
    <w:rsid w:val="00C61C48"/>
    <w:rsid w:val="00C724C4"/>
    <w:rsid w:val="00C83D9E"/>
    <w:rsid w:val="00CC4303"/>
    <w:rsid w:val="00D729A4"/>
    <w:rsid w:val="00DE1CFD"/>
    <w:rsid w:val="00EA0AA1"/>
    <w:rsid w:val="00EC7F8D"/>
    <w:rsid w:val="00F566DD"/>
    <w:rsid w:val="00F7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976BA"/>
  <w15:docId w15:val="{F9D433A7-A4B9-40D8-9B9C-9B3C4AD1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594"/>
  </w:style>
  <w:style w:type="paragraph" w:styleId="Footer">
    <w:name w:val="footer"/>
    <w:basedOn w:val="Normal"/>
    <w:link w:val="FooterChar"/>
    <w:uiPriority w:val="99"/>
    <w:unhideWhenUsed/>
    <w:rsid w:val="00AD7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594"/>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
    <w:basedOn w:val="Normal"/>
    <w:link w:val="ListParagraphChar"/>
    <w:uiPriority w:val="34"/>
    <w:qFormat/>
    <w:rsid w:val="008D6DBF"/>
    <w:pPr>
      <w:spacing w:after="200" w:line="276" w:lineRule="auto"/>
      <w:ind w:left="720"/>
      <w:contextualSpacing/>
    </w:p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qFormat/>
    <w:locked/>
    <w:rsid w:val="008D6DBF"/>
  </w:style>
  <w:style w:type="paragraph" w:styleId="BalloonText">
    <w:name w:val="Balloon Text"/>
    <w:basedOn w:val="Normal"/>
    <w:link w:val="BalloonTextChar"/>
    <w:uiPriority w:val="99"/>
    <w:semiHidden/>
    <w:unhideWhenUsed/>
    <w:rsid w:val="00C72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C4"/>
    <w:rPr>
      <w:rFonts w:ascii="Segoe UI" w:hAnsi="Segoe UI" w:cs="Segoe UI"/>
      <w:sz w:val="18"/>
      <w:szCs w:val="18"/>
    </w:rPr>
  </w:style>
  <w:style w:type="character" w:styleId="Hyperlink">
    <w:name w:val="Hyperlink"/>
    <w:basedOn w:val="DefaultParagraphFont"/>
    <w:uiPriority w:val="99"/>
    <w:unhideWhenUsed/>
    <w:rsid w:val="00B43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gps.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AF86900825FB41A1D7A5128DDFEFCF" ma:contentTypeVersion="11" ma:contentTypeDescription="Create a new document." ma:contentTypeScope="" ma:versionID="2cb8cd59a491bbebff04dad9f2eb5994">
  <xsd:schema xmlns:xsd="http://www.w3.org/2001/XMLSchema" xmlns:xs="http://www.w3.org/2001/XMLSchema" xmlns:p="http://schemas.microsoft.com/office/2006/metadata/properties" xmlns:ns2="f61bfc6c-7d9b-409a-801a-10f701a210e8" xmlns:ns3="c8eb1e4f-0556-4053-8822-aa4758d90598" targetNamespace="http://schemas.microsoft.com/office/2006/metadata/properties" ma:root="true" ma:fieldsID="2a0b3fd8e7a3aede7a13f1ac383efb50" ns2:_="" ns3:_="">
    <xsd:import namespace="f61bfc6c-7d9b-409a-801a-10f701a210e8"/>
    <xsd:import namespace="c8eb1e4f-0556-4053-8822-aa4758d90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Hyperlink"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bfc6c-7d9b-409a-801a-10f701a210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eb1e4f-0556-4053-8822-aa4758d905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Hyperlink" ma:index="1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yperlink xmlns="c8eb1e4f-0556-4053-8822-aa4758d90598">
      <Url xsi:nil="true"/>
      <Description xsi:nil="true"/>
    </Hyperlink>
  </documentManagement>
</p:properties>
</file>

<file path=customXml/itemProps1.xml><?xml version="1.0" encoding="utf-8"?>
<ds:datastoreItem xmlns:ds="http://schemas.openxmlformats.org/officeDocument/2006/customXml" ds:itemID="{9BCD9887-E003-4284-93EF-F40F304BA8A6}">
  <ds:schemaRefs>
    <ds:schemaRef ds:uri="http://schemas.microsoft.com/sharepoint/v3/contenttype/forms"/>
  </ds:schemaRefs>
</ds:datastoreItem>
</file>

<file path=customXml/itemProps2.xml><?xml version="1.0" encoding="utf-8"?>
<ds:datastoreItem xmlns:ds="http://schemas.openxmlformats.org/officeDocument/2006/customXml" ds:itemID="{E11E1688-B05C-45D4-93C0-31C736A8A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bfc6c-7d9b-409a-801a-10f701a210e8"/>
    <ds:schemaRef ds:uri="c8eb1e4f-0556-4053-8822-aa4758d90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C52D7-5F6E-4252-A12C-FA0035DDC140}">
  <ds:schemaRefs>
    <ds:schemaRef ds:uri="http://schemas.microsoft.com/office/2006/metadata/properties"/>
    <ds:schemaRef ds:uri="http://schemas.microsoft.com/office/infopath/2007/PartnerControls"/>
    <ds:schemaRef ds:uri="c8eb1e4f-0556-4053-8822-aa4758d9059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Camille McMahon</dc:creator>
  <cp:lastModifiedBy>Helen Alwell</cp:lastModifiedBy>
  <cp:revision>3</cp:revision>
  <cp:lastPrinted>2018-07-24T08:45:00Z</cp:lastPrinted>
  <dcterms:created xsi:type="dcterms:W3CDTF">2019-07-25T13:54:00Z</dcterms:created>
  <dcterms:modified xsi:type="dcterms:W3CDTF">2019-07-25T13:57:00Z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0x01010024AF86900825FB41A1D7A5128DDFEFCF</vt:lpwstr>
  </property>
  <property fmtid="{D5CDD505-2E9C-101B-9397-08002B2CF9AE}" pid="3" name="MSIP_Label_45133320-b4c8-4909-a8fa-1ed9be684247_Enabled">
    <vt:lpwstr>True</vt:lpwstr>
  </property>
  <property fmtid="{D5CDD505-2E9C-101B-9397-08002B2CF9AE}" pid="4" name="MSIP_Label_45133320-b4c8-4909-a8fa-1ed9be684247_SiteId">
    <vt:lpwstr>d58a9e1d-4dca-4595-a9e8-7934a15f3419</vt:lpwstr>
  </property>
  <property fmtid="{D5CDD505-2E9C-101B-9397-08002B2CF9AE}" pid="5" name="MSIP_Label_45133320-b4c8-4909-a8fa-1ed9be684247_Owner">
    <vt:lpwstr>Kinga.Skonieczna@transportforthenorth.com</vt:lpwstr>
  </property>
  <property fmtid="{D5CDD505-2E9C-101B-9397-08002B2CF9AE}" pid="6" name="MSIP_Label_45133320-b4c8-4909-a8fa-1ed9be684247_SetDate">
    <vt:lpwstr>2018-12-10T15:56:03.4756416Z</vt:lpwstr>
  </property>
  <property fmtid="{D5CDD505-2E9C-101B-9397-08002B2CF9AE}" pid="7" name="MSIP_Label_45133320-b4c8-4909-a8fa-1ed9be684247_Name">
    <vt:lpwstr>General</vt:lpwstr>
  </property>
  <property fmtid="{D5CDD505-2E9C-101B-9397-08002B2CF9AE}" pid="8" name="MSIP_Label_45133320-b4c8-4909-a8fa-1ed9be684247_Application">
    <vt:lpwstr>Microsoft Azure Information Protection</vt:lpwstr>
  </property>
  <property fmtid="{D5CDD505-2E9C-101B-9397-08002B2CF9AE}" pid="9" name="MSIP_Label_45133320-b4c8-4909-a8fa-1ed9be684247_Extended_MSFT_Method">
    <vt:lpwstr>Manual</vt:lpwstr>
  </property>
  <property fmtid="{D5CDD505-2E9C-101B-9397-08002B2CF9AE}" pid="10" name="Sensitivity">
    <vt:lpwstr>General</vt:lpwstr>
  </property>
</Properties>
</file>